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DE" w:rsidRDefault="00C314F1">
      <w:pPr>
        <w:pBdr>
          <w:left w:val="single" w:sz="12" w:space="4" w:color="FFFFFF" w:themeColor="background1"/>
        </w:pBdr>
        <w:shd w:val="clear" w:color="auto" w:fill="EEECE1" w:themeFill="background2"/>
        <w:jc w:val="center"/>
        <w:rPr>
          <w:rFonts w:asciiTheme="majorHAnsi" w:hAnsiTheme="majorHAnsi"/>
          <w:b/>
          <w:color w:val="244061" w:themeColor="accent1" w:themeShade="80"/>
          <w:sz w:val="30"/>
          <w:szCs w:val="30"/>
        </w:rPr>
      </w:pP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>2011 Graduate Outlook Survey</w:t>
      </w:r>
    </w:p>
    <w:p w:rsidR="007600DE" w:rsidRDefault="00C314F1">
      <w:pPr>
        <w:pBdr>
          <w:left w:val="single" w:sz="12" w:space="4" w:color="FFFFFF" w:themeColor="background1"/>
        </w:pBdr>
        <w:shd w:val="clear" w:color="auto" w:fill="EEECE1" w:themeFill="background2"/>
        <w:jc w:val="center"/>
        <w:rPr>
          <w:rFonts w:asciiTheme="majorHAnsi" w:hAnsiTheme="majorHAnsi"/>
          <w:b/>
          <w:color w:val="244061" w:themeColor="accent1" w:themeShade="80"/>
          <w:sz w:val="30"/>
          <w:szCs w:val="30"/>
        </w:rPr>
      </w:pP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 xml:space="preserve">Summary Report for </w:t>
      </w:r>
      <w:r w:rsidR="008164ED">
        <w:rPr>
          <w:rFonts w:asciiTheme="majorHAnsi" w:hAnsiTheme="majorHAnsi"/>
          <w:b/>
          <w:color w:val="244061" w:themeColor="accent1" w:themeShade="80"/>
          <w:sz w:val="30"/>
          <w:szCs w:val="30"/>
        </w:rPr>
        <w:t>Accounting and Finance</w:t>
      </w:r>
      <w:r w:rsidRPr="00C314F1">
        <w:rPr>
          <w:rFonts w:asciiTheme="majorHAnsi" w:hAnsiTheme="majorHAnsi"/>
          <w:b/>
          <w:color w:val="244061" w:themeColor="accent1" w:themeShade="80"/>
          <w:sz w:val="30"/>
          <w:szCs w:val="30"/>
        </w:rPr>
        <w:t xml:space="preserve"> Employers</w:t>
      </w:r>
    </w:p>
    <w:p w:rsidR="007600DE" w:rsidRPr="00C53C0F" w:rsidRDefault="007600DE">
      <w:pPr>
        <w:pBdr>
          <w:left w:val="single" w:sz="12" w:space="4" w:color="FFFFFF" w:themeColor="background1"/>
        </w:pBdr>
        <w:rPr>
          <w:sz w:val="2"/>
          <w:szCs w:val="2"/>
        </w:rPr>
      </w:pPr>
    </w:p>
    <w:p w:rsidR="007600DE" w:rsidRDefault="00B27A74">
      <w:pPr>
        <w:pBdr>
          <w:left w:val="single" w:sz="12" w:space="4" w:color="FFFFFF" w:themeColor="background1"/>
        </w:pBdr>
      </w:pPr>
      <w:r>
        <w:t xml:space="preserve">This report </w:t>
      </w:r>
      <w:r w:rsidR="004E15FC">
        <w:t xml:space="preserve">looks at trends in graduate recruitment </w:t>
      </w:r>
      <w:r>
        <w:t xml:space="preserve">for the </w:t>
      </w:r>
      <w:r w:rsidR="008164ED">
        <w:t>Accounting and Finance</w:t>
      </w:r>
      <w:r>
        <w:t xml:space="preserve"> </w:t>
      </w:r>
      <w:r w:rsidR="007A0646">
        <w:t xml:space="preserve">industries </w:t>
      </w:r>
      <w:r w:rsidR="004E15FC">
        <w:t>including</w:t>
      </w:r>
      <w:r w:rsidR="007A0646">
        <w:t xml:space="preserve"> </w:t>
      </w:r>
      <w:r>
        <w:t>graduate recruitment trends, graduate skill shortages, graduate</w:t>
      </w:r>
      <w:r w:rsidR="00513393">
        <w:t xml:space="preserve"> program promotion methods used</w:t>
      </w:r>
      <w:r>
        <w:t xml:space="preserve"> and factors influencing graduate attrition and retention.</w:t>
      </w:r>
      <w:r w:rsidR="00F739F1" w:rsidRPr="00042191">
        <w:t xml:space="preserve"> </w:t>
      </w:r>
      <w:r w:rsidR="00C53C0F">
        <w:t xml:space="preserve"> In total</w:t>
      </w:r>
      <w:r w:rsidR="007A0646">
        <w:t>,</w:t>
      </w:r>
      <w:r w:rsidR="00E446DF">
        <w:t xml:space="preserve"> 73</w:t>
      </w:r>
      <w:r w:rsidR="00C53C0F">
        <w:t xml:space="preserve"> </w:t>
      </w:r>
      <w:r w:rsidR="008164ED">
        <w:t>Accounting and Finance</w:t>
      </w:r>
      <w:r w:rsidR="00C53C0F">
        <w:t xml:space="preserve"> employers responded to the survey.</w:t>
      </w:r>
    </w:p>
    <w:p w:rsidR="007600DE" w:rsidRDefault="00F739F1">
      <w:pPr>
        <w:pBdr>
          <w:left w:val="single" w:sz="12" w:space="4" w:color="FFFFFF" w:themeColor="background1"/>
        </w:pBdr>
      </w:pPr>
      <w:r w:rsidRPr="00042191">
        <w:t xml:space="preserve">The report </w:t>
      </w:r>
      <w:r w:rsidR="007A0646">
        <w:t>provides</w:t>
      </w:r>
      <w:r w:rsidRPr="00042191">
        <w:t xml:space="preserve"> insight </w:t>
      </w:r>
      <w:r w:rsidR="0099575D" w:rsidRPr="00042191">
        <w:t>into graduate</w:t>
      </w:r>
      <w:r w:rsidRPr="00042191">
        <w:t xml:space="preserve"> recruitment </w:t>
      </w:r>
      <w:r w:rsidR="00B27A74">
        <w:t>activities and</w:t>
      </w:r>
      <w:r w:rsidR="004F2326">
        <w:t xml:space="preserve"> </w:t>
      </w:r>
      <w:r w:rsidR="007A0646">
        <w:t>suggests</w:t>
      </w:r>
      <w:r w:rsidR="00FA4CA3" w:rsidRPr="00042191">
        <w:t xml:space="preserve"> ways to </w:t>
      </w:r>
      <w:r w:rsidR="007A0646">
        <w:t>improve retention rates and capitalise on investing in graduate employees.</w:t>
      </w:r>
    </w:p>
    <w:p w:rsidR="007600DE" w:rsidRDefault="0082089C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B27A74">
        <w:rPr>
          <w:color w:val="244061" w:themeColor="accent1" w:themeShade="80"/>
        </w:rPr>
        <w:t>What’s happening in graduate recruitment</w:t>
      </w:r>
      <w:r w:rsidR="00C53C0F">
        <w:rPr>
          <w:color w:val="244061" w:themeColor="accent1" w:themeShade="80"/>
        </w:rPr>
        <w:t>?</w:t>
      </w:r>
    </w:p>
    <w:p w:rsidR="007600DE" w:rsidRPr="00C53C0F" w:rsidRDefault="007600DE">
      <w:pPr>
        <w:pBdr>
          <w:left w:val="single" w:sz="12" w:space="4" w:color="FFFFFF" w:themeColor="background1"/>
        </w:pBdr>
        <w:rPr>
          <w:sz w:val="2"/>
          <w:szCs w:val="2"/>
        </w:rPr>
      </w:pPr>
    </w:p>
    <w:p w:rsidR="007600DE" w:rsidRDefault="002262E5">
      <w:pPr>
        <w:pBdr>
          <w:left w:val="single" w:sz="12" w:space="4" w:color="FFFFFF" w:themeColor="background1"/>
        </w:pBdr>
        <w:jc w:val="both"/>
      </w:pPr>
      <w:r>
        <w:t>N</w:t>
      </w:r>
      <w:r w:rsidR="00C314F1" w:rsidRPr="00C314F1">
        <w:t xml:space="preserve">ine in ten employers from </w:t>
      </w:r>
      <w:r w:rsidR="008164ED">
        <w:t>Accounting and Finance</w:t>
      </w:r>
      <w:r w:rsidR="00C314F1" w:rsidRPr="00C314F1">
        <w:t xml:space="preserve"> industries employed graduates in 2011. This is around the same </w:t>
      </w:r>
      <w:r w:rsidR="00C53C0F">
        <w:t>proportion</w:t>
      </w:r>
      <w:r w:rsidR="00C53C0F" w:rsidRPr="00C314F1">
        <w:t xml:space="preserve"> </w:t>
      </w:r>
      <w:r w:rsidR="00C314F1" w:rsidRPr="00C314F1">
        <w:t xml:space="preserve">as </w:t>
      </w:r>
      <w:r w:rsidR="007A0646">
        <w:t>in 2010 and a similar rate is expected</w:t>
      </w:r>
      <w:r w:rsidR="00C314F1" w:rsidRPr="00C314F1">
        <w:t xml:space="preserve"> in 2012.</w:t>
      </w:r>
    </w:p>
    <w:p w:rsidR="007600DE" w:rsidRDefault="00C314F1">
      <w:pPr>
        <w:pBdr>
          <w:left w:val="single" w:sz="12" w:space="4" w:color="FFFFFF" w:themeColor="background1"/>
        </w:pBdr>
        <w:jc w:val="both"/>
      </w:pPr>
      <w:r w:rsidRPr="00C314F1">
        <w:t xml:space="preserve"> Of </w:t>
      </w:r>
      <w:r w:rsidR="008164ED">
        <w:t>Accounting and Finance</w:t>
      </w:r>
      <w:r w:rsidR="00C53C0F" w:rsidRPr="00C314F1">
        <w:t xml:space="preserve"> </w:t>
      </w:r>
      <w:r w:rsidRPr="00C314F1">
        <w:t>employers in 2011 (see Figure 1):</w:t>
      </w:r>
    </w:p>
    <w:p w:rsidR="00C53C0F" w:rsidRDefault="00960CB9">
      <w:pPr>
        <w:pStyle w:val="ListParagraph"/>
        <w:numPr>
          <w:ilvl w:val="0"/>
          <w:numId w:val="5"/>
        </w:numPr>
        <w:pBdr>
          <w:left w:val="single" w:sz="12" w:space="4" w:color="FFFFFF" w:themeColor="background1"/>
        </w:pBdr>
        <w:spacing w:line="360" w:lineRule="auto"/>
        <w:ind w:left="641" w:hanging="357"/>
        <w:jc w:val="both"/>
      </w:pPr>
      <w:r>
        <w:t xml:space="preserve">One </w:t>
      </w:r>
      <w:r w:rsidR="00C53C0F">
        <w:t>in te</w:t>
      </w:r>
      <w:r w:rsidR="00BC6C60">
        <w:t>n did not recruit any graduates;</w:t>
      </w:r>
    </w:p>
    <w:p w:rsidR="007600DE" w:rsidRDefault="000813AC">
      <w:pPr>
        <w:pStyle w:val="ListParagraph"/>
        <w:numPr>
          <w:ilvl w:val="0"/>
          <w:numId w:val="5"/>
        </w:numPr>
        <w:pBdr>
          <w:left w:val="single" w:sz="12" w:space="4" w:color="FFFFFF" w:themeColor="background1"/>
        </w:pBdr>
        <w:spacing w:line="360" w:lineRule="auto"/>
        <w:ind w:left="641" w:hanging="357"/>
        <w:jc w:val="both"/>
      </w:pPr>
      <w:r>
        <w:t>Just over</w:t>
      </w:r>
      <w:r w:rsidR="00EA73FD">
        <w:t xml:space="preserve"> </w:t>
      </w:r>
      <w:r w:rsidR="00960CB9">
        <w:t>six</w:t>
      </w:r>
      <w:r w:rsidR="00EA73FD">
        <w:t xml:space="preserve"> in ten</w:t>
      </w:r>
      <w:r w:rsidR="00C314F1" w:rsidRPr="00C314F1">
        <w:t xml:space="preserve"> recruit</w:t>
      </w:r>
      <w:r w:rsidR="00BC6C60">
        <w:t>ed between one and 20 graduates;</w:t>
      </w:r>
    </w:p>
    <w:p w:rsidR="007600DE" w:rsidRDefault="00960CB9">
      <w:pPr>
        <w:pStyle w:val="ListParagraph"/>
        <w:numPr>
          <w:ilvl w:val="0"/>
          <w:numId w:val="5"/>
        </w:numPr>
        <w:pBdr>
          <w:left w:val="single" w:sz="12" w:space="4" w:color="FFFFFF" w:themeColor="background1"/>
        </w:pBdr>
        <w:spacing w:line="360" w:lineRule="auto"/>
        <w:ind w:left="641" w:hanging="357"/>
        <w:jc w:val="both"/>
      </w:pPr>
      <w:r>
        <w:t>Around one qua</w:t>
      </w:r>
      <w:r w:rsidR="008606A6">
        <w:t>r</w:t>
      </w:r>
      <w:r>
        <w:t>ter</w:t>
      </w:r>
      <w:r w:rsidR="00C314F1" w:rsidRPr="00C314F1">
        <w:t xml:space="preserve"> recruited more than 20 graduates.</w:t>
      </w:r>
    </w:p>
    <w:p w:rsidR="007600DE" w:rsidRDefault="007A0646">
      <w:pPr>
        <w:pBdr>
          <w:left w:val="single" w:sz="12" w:space="4" w:color="FFFFFF" w:themeColor="background1"/>
        </w:pBdr>
        <w:jc w:val="both"/>
      </w:pPr>
      <w:r>
        <w:t xml:space="preserve">Again, most </w:t>
      </w:r>
      <w:r w:rsidR="00C53C0F">
        <w:t>employers expect to recruit similar numbers in 2012.</w:t>
      </w:r>
    </w:p>
    <w:p w:rsidR="00973CFC" w:rsidRDefault="002262E5" w:rsidP="00973CFC">
      <w:pPr>
        <w:tabs>
          <w:tab w:val="left" w:pos="2535"/>
        </w:tabs>
        <w:jc w:val="center"/>
      </w:pPr>
      <w:r w:rsidRPr="002262E5">
        <w:rPr>
          <w:noProof/>
          <w:lang w:eastAsia="en-AU"/>
        </w:rPr>
        <w:drawing>
          <wp:inline distT="0" distB="0" distL="0" distR="0">
            <wp:extent cx="5400675" cy="2571750"/>
            <wp:effectExtent l="0" t="0" r="0" b="0"/>
            <wp:docPr id="1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2960" w:rsidRPr="00C53C0F" w:rsidRDefault="00F72960" w:rsidP="00973CFC">
      <w:pPr>
        <w:tabs>
          <w:tab w:val="left" w:pos="2535"/>
        </w:tabs>
        <w:jc w:val="center"/>
        <w:rPr>
          <w:b/>
          <w:sz w:val="20"/>
          <w:szCs w:val="20"/>
        </w:rPr>
      </w:pPr>
      <w:r w:rsidRPr="00C53C0F">
        <w:rPr>
          <w:b/>
          <w:sz w:val="20"/>
          <w:szCs w:val="20"/>
        </w:rPr>
        <w:t xml:space="preserve">Figure </w:t>
      </w:r>
      <w:r w:rsidR="006137CB" w:rsidRPr="00C53C0F">
        <w:rPr>
          <w:b/>
          <w:sz w:val="20"/>
          <w:szCs w:val="20"/>
        </w:rPr>
        <w:fldChar w:fldCharType="begin"/>
      </w:r>
      <w:r w:rsidRPr="00C53C0F">
        <w:rPr>
          <w:b/>
          <w:sz w:val="20"/>
          <w:szCs w:val="20"/>
        </w:rPr>
        <w:instrText xml:space="preserve"> SEQ Figure \* ARABIC </w:instrText>
      </w:r>
      <w:r w:rsidR="006137CB" w:rsidRPr="00C53C0F">
        <w:rPr>
          <w:b/>
          <w:sz w:val="20"/>
          <w:szCs w:val="20"/>
        </w:rPr>
        <w:fldChar w:fldCharType="separate"/>
      </w:r>
      <w:r w:rsidR="00E37133">
        <w:rPr>
          <w:b/>
          <w:noProof/>
          <w:sz w:val="20"/>
          <w:szCs w:val="20"/>
        </w:rPr>
        <w:t>1</w:t>
      </w:r>
      <w:r w:rsidR="006137CB" w:rsidRPr="00C53C0F">
        <w:rPr>
          <w:b/>
          <w:sz w:val="20"/>
          <w:szCs w:val="20"/>
        </w:rPr>
        <w:fldChar w:fldCharType="end"/>
      </w:r>
      <w:r w:rsidRPr="00C53C0F">
        <w:rPr>
          <w:b/>
          <w:sz w:val="20"/>
          <w:szCs w:val="20"/>
        </w:rPr>
        <w:t xml:space="preserve">: </w:t>
      </w:r>
      <w:r w:rsidR="004F0A70">
        <w:rPr>
          <w:b/>
          <w:sz w:val="20"/>
          <w:szCs w:val="20"/>
        </w:rPr>
        <w:t>G</w:t>
      </w:r>
      <w:r w:rsidRPr="00C53C0F">
        <w:rPr>
          <w:b/>
          <w:sz w:val="20"/>
          <w:szCs w:val="20"/>
        </w:rPr>
        <w:t xml:space="preserve">raduate intake for </w:t>
      </w:r>
      <w:r w:rsidR="008164ED">
        <w:rPr>
          <w:b/>
          <w:sz w:val="20"/>
          <w:szCs w:val="20"/>
        </w:rPr>
        <w:t>A/F</w:t>
      </w:r>
      <w:r w:rsidRPr="00C53C0F">
        <w:rPr>
          <w:rStyle w:val="FootnoteReference"/>
          <w:b/>
          <w:sz w:val="20"/>
          <w:szCs w:val="20"/>
        </w:rPr>
        <w:footnoteReference w:id="1"/>
      </w:r>
      <w:r w:rsidRPr="00C53C0F">
        <w:rPr>
          <w:b/>
          <w:sz w:val="20"/>
          <w:szCs w:val="20"/>
        </w:rPr>
        <w:t xml:space="preserve">, </w:t>
      </w:r>
      <w:r w:rsidR="001C1B80">
        <w:rPr>
          <w:b/>
          <w:sz w:val="20"/>
          <w:szCs w:val="20"/>
        </w:rPr>
        <w:t>2011</w:t>
      </w:r>
    </w:p>
    <w:p w:rsidR="00300070" w:rsidRDefault="00FD1D81">
      <w:r>
        <w:lastRenderedPageBreak/>
        <w:t>Four in ten</w:t>
      </w:r>
      <w:r w:rsidR="00C314F1" w:rsidRPr="00C314F1">
        <w:t xml:space="preserve"> </w:t>
      </w:r>
      <w:r w:rsidR="008164ED">
        <w:t>Accounting and Finance</w:t>
      </w:r>
      <w:r w:rsidR="00C314F1" w:rsidRPr="00C314F1">
        <w:t xml:space="preserve"> employers</w:t>
      </w:r>
      <w:r w:rsidR="008239D5">
        <w:t xml:space="preserve"> surveyed</w:t>
      </w:r>
      <w:r w:rsidR="00C314F1" w:rsidRPr="00C314F1">
        <w:t xml:space="preserve"> would have recruited more graduates if appropriate candidates had been available </w:t>
      </w:r>
      <w:r w:rsidR="008239D5">
        <w:t>(</w:t>
      </w:r>
      <w:r w:rsidR="00C314F1" w:rsidRPr="00C314F1">
        <w:t>see Figure 2</w:t>
      </w:r>
      <w:r w:rsidR="008239D5">
        <w:t>) in 2011</w:t>
      </w:r>
      <w:r w:rsidR="00C314F1" w:rsidRPr="00C314F1">
        <w:t xml:space="preserve">. </w:t>
      </w:r>
    </w:p>
    <w:p w:rsidR="00300070" w:rsidRDefault="00FD1D81">
      <w:pPr>
        <w:jc w:val="center"/>
      </w:pPr>
      <w:r w:rsidRPr="00FD1D81">
        <w:rPr>
          <w:noProof/>
          <w:lang w:eastAsia="en-AU"/>
        </w:rPr>
        <w:drawing>
          <wp:inline distT="0" distB="0" distL="0" distR="0">
            <wp:extent cx="5400000" cy="2880000"/>
            <wp:effectExtent l="0" t="0" r="0" b="0"/>
            <wp:docPr id="1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06AA" w:rsidRPr="00042191" w:rsidRDefault="008B06AA" w:rsidP="00042191">
      <w:pPr>
        <w:pStyle w:val="Caption"/>
      </w:pPr>
      <w:r w:rsidRPr="00042191">
        <w:t xml:space="preserve">Figure </w:t>
      </w:r>
      <w:r w:rsidR="006137CB" w:rsidRPr="00042191">
        <w:fldChar w:fldCharType="begin"/>
      </w:r>
      <w:r w:rsidR="00C314F1" w:rsidRPr="00C314F1">
        <w:instrText xml:space="preserve"> SEQ Figure \* ARABIC </w:instrText>
      </w:r>
      <w:r w:rsidR="006137CB" w:rsidRPr="00042191">
        <w:fldChar w:fldCharType="separate"/>
      </w:r>
      <w:r w:rsidR="00E37133">
        <w:rPr>
          <w:noProof/>
        </w:rPr>
        <w:t>2</w:t>
      </w:r>
      <w:r w:rsidR="006137CB" w:rsidRPr="00042191">
        <w:fldChar w:fldCharType="end"/>
      </w:r>
      <w:r w:rsidRPr="00042191">
        <w:t xml:space="preserve">: Proportion of </w:t>
      </w:r>
      <w:r w:rsidR="008164ED">
        <w:t>A/F</w:t>
      </w:r>
      <w:r w:rsidR="00A13015" w:rsidRPr="00042191">
        <w:rPr>
          <w:rStyle w:val="FootnoteReference"/>
        </w:rPr>
        <w:footnoteReference w:id="2"/>
      </w:r>
      <w:r w:rsidR="007A0B07" w:rsidRPr="00042191">
        <w:t xml:space="preserve"> </w:t>
      </w:r>
      <w:r w:rsidRPr="00042191">
        <w:t>employers who would have recruited more graduates if a higher number of appropriate candidates had been available, 2007-11</w:t>
      </w:r>
    </w:p>
    <w:p w:rsidR="007600DE" w:rsidRDefault="00C314F1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C314F1">
        <w:rPr>
          <w:color w:val="244061" w:themeColor="accent1" w:themeShade="80"/>
        </w:rPr>
        <w:t>How do you select graduates?</w:t>
      </w:r>
    </w:p>
    <w:p w:rsidR="00673000" w:rsidRPr="00042191" w:rsidRDefault="00673000" w:rsidP="00042191"/>
    <w:p w:rsidR="00287387" w:rsidRDefault="008164ED">
      <w:r>
        <w:t>Accounting and Finance</w:t>
      </w:r>
      <w:r w:rsidR="00287387" w:rsidRPr="00C314F1">
        <w:t xml:space="preserve"> </w:t>
      </w:r>
      <w:r w:rsidR="00287387">
        <w:t>e</w:t>
      </w:r>
      <w:r w:rsidR="00287387" w:rsidRPr="00C314F1">
        <w:t xml:space="preserve">mployers </w:t>
      </w:r>
      <w:r w:rsidR="00C314F1" w:rsidRPr="00C314F1">
        <w:t xml:space="preserve">were asked to rate which three selection criteria </w:t>
      </w:r>
      <w:r w:rsidR="009F0DA0">
        <w:t>(</w:t>
      </w:r>
      <w:r w:rsidR="00C314F1" w:rsidRPr="00C314F1">
        <w:t>aside from relevant qualifications</w:t>
      </w:r>
      <w:r w:rsidR="009F0DA0">
        <w:t>)</w:t>
      </w:r>
      <w:r w:rsidR="00C314F1" w:rsidRPr="00C314F1">
        <w:t xml:space="preserve"> they considered to be </w:t>
      </w:r>
      <w:r w:rsidR="00C314F1" w:rsidRPr="009F0DA0">
        <w:rPr>
          <w:i/>
        </w:rPr>
        <w:t>most</w:t>
      </w:r>
      <w:r w:rsidR="00C314F1" w:rsidRPr="00C314F1">
        <w:t xml:space="preserve"> important when evaluating applicants. These are presented in Table 1</w:t>
      </w:r>
      <w:r w:rsidR="00287387">
        <w:t>,</w:t>
      </w:r>
      <w:r w:rsidR="00C314F1" w:rsidRPr="00C314F1">
        <w:t xml:space="preserve"> ranked from most</w:t>
      </w:r>
      <w:r w:rsidR="00287387">
        <w:t xml:space="preserve"> (1)</w:t>
      </w:r>
      <w:r w:rsidR="00C314F1" w:rsidRPr="00C314F1">
        <w:t xml:space="preserve"> to least </w:t>
      </w:r>
      <w:r w:rsidR="00287387">
        <w:t>(10)</w:t>
      </w:r>
      <w:r w:rsidR="00D95892">
        <w:t xml:space="preserve"> </w:t>
      </w:r>
      <w:r w:rsidR="00C314F1" w:rsidRPr="00C314F1">
        <w:t>nominated and benchmarked against all industry groups for 2011.</w:t>
      </w:r>
    </w:p>
    <w:p w:rsidR="00300070" w:rsidRDefault="00C314F1">
      <w:r w:rsidRPr="00C314F1">
        <w:t xml:space="preserve">The top three most important selection criteria for </w:t>
      </w:r>
      <w:r w:rsidR="008164ED">
        <w:t>Accounting and Finance</w:t>
      </w:r>
      <w:r w:rsidRPr="00C314F1">
        <w:t xml:space="preserve"> </w:t>
      </w:r>
      <w:r w:rsidR="009F0DA0">
        <w:t>employers were</w:t>
      </w:r>
      <w:r w:rsidRPr="00C314F1">
        <w:t>:</w:t>
      </w:r>
    </w:p>
    <w:p w:rsidR="007600DE" w:rsidRDefault="00C314F1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 w:rsidRPr="00C314F1">
        <w:t>Interpersonal and communication skills (written and oral)</w:t>
      </w:r>
      <w:r w:rsidR="005F7962">
        <w:t>;</w:t>
      </w:r>
    </w:p>
    <w:p w:rsidR="0019559C" w:rsidRDefault="00AF50B7" w:rsidP="0019559C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>
        <w:t>Calibre of academic results</w:t>
      </w:r>
      <w:r w:rsidR="0019559C">
        <w:t>;</w:t>
      </w:r>
    </w:p>
    <w:p w:rsidR="0019559C" w:rsidRDefault="00AF50B7" w:rsidP="0019559C">
      <w:pPr>
        <w:pStyle w:val="ListParagraph"/>
        <w:numPr>
          <w:ilvl w:val="0"/>
          <w:numId w:val="7"/>
        </w:numPr>
        <w:spacing w:line="360" w:lineRule="auto"/>
        <w:ind w:left="714" w:hanging="357"/>
      </w:pPr>
      <w:r>
        <w:t>Critical reasoning and analytical skills/Problem solving/Lateral thinking/Technical skills</w:t>
      </w:r>
      <w:r w:rsidR="0019559C">
        <w:t>.</w:t>
      </w:r>
    </w:p>
    <w:p w:rsidR="00E31DEE" w:rsidRDefault="008164ED" w:rsidP="00042191">
      <w:r>
        <w:t>Accounting and Finance</w:t>
      </w:r>
      <w:r w:rsidR="000F0D00">
        <w:t xml:space="preserve"> employers were more likely on average to value </w:t>
      </w:r>
      <w:r w:rsidR="003366F1">
        <w:t>‘</w:t>
      </w:r>
      <w:r w:rsidR="00266896">
        <w:t>work experience</w:t>
      </w:r>
      <w:r w:rsidR="000F0D00">
        <w:t>’ and less likely to value ‘</w:t>
      </w:r>
      <w:r w:rsidR="00266896">
        <w:t>Passion/Knowledge of industry/Drive/Commitment/Attitude’</w:t>
      </w:r>
      <w:r w:rsidR="000F0D00">
        <w:t>.</w:t>
      </w:r>
    </w:p>
    <w:p w:rsidR="00D95892" w:rsidRDefault="00D95892" w:rsidP="00042191"/>
    <w:p w:rsidR="00D95892" w:rsidRDefault="00D95892" w:rsidP="00042191"/>
    <w:p w:rsidR="00D95892" w:rsidRDefault="00D95892" w:rsidP="00042191"/>
    <w:p w:rsidR="00D95892" w:rsidRDefault="00D95892" w:rsidP="00042191"/>
    <w:p w:rsidR="00D95892" w:rsidRPr="00042191" w:rsidRDefault="00D95892" w:rsidP="00042191"/>
    <w:p w:rsidR="00300070" w:rsidRDefault="00C314F1">
      <w:pPr>
        <w:pStyle w:val="Caption"/>
      </w:pPr>
      <w:r w:rsidRPr="00C314F1">
        <w:lastRenderedPageBreak/>
        <w:t>Table 1: Most important selection criteria when recruiting graduates, 2011 (Rank)</w:t>
      </w:r>
    </w:p>
    <w:tbl>
      <w:tblPr>
        <w:tblW w:w="9460" w:type="dxa"/>
        <w:jc w:val="center"/>
        <w:tblInd w:w="93" w:type="dxa"/>
        <w:tblLook w:val="04A0"/>
      </w:tblPr>
      <w:tblGrid>
        <w:gridCol w:w="7540"/>
        <w:gridCol w:w="960"/>
        <w:gridCol w:w="960"/>
      </w:tblGrid>
      <w:tr w:rsidR="0057231A" w:rsidRPr="0057231A" w:rsidTr="0057231A">
        <w:trPr>
          <w:trHeight w:val="315"/>
          <w:jc w:val="center"/>
        </w:trPr>
        <w:tc>
          <w:tcPr>
            <w:tcW w:w="754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Selection Criteria</w:t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3707E7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A/F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footnoteReference w:id="3"/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All industry groups</w:t>
            </w:r>
          </w:p>
        </w:tc>
      </w:tr>
      <w:tr w:rsidR="0057231A" w:rsidRPr="0057231A" w:rsidTr="0057231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Interpersonal and communication skills (written and oral)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</w:tr>
      <w:tr w:rsidR="0057231A" w:rsidRPr="0057231A" w:rsidTr="0057231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Calibre of academic 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</w:tr>
      <w:tr w:rsidR="0057231A" w:rsidRPr="0057231A" w:rsidTr="0057231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Critical reasoning and analytical skills/Problem solving/Lateral thinking/Technical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</w:tr>
      <w:tr w:rsidR="0057231A" w:rsidRPr="0057231A" w:rsidTr="0057231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Work experience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</w:tr>
      <w:tr w:rsidR="0057231A" w:rsidRPr="0057231A" w:rsidTr="0057231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Cultural alignment / Values fit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</w:tr>
      <w:tr w:rsidR="0057231A" w:rsidRPr="0057231A" w:rsidTr="0057231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Passion/Knowledge of industry/Drive/Commitment/Attitude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</w:tr>
      <w:tr w:rsidR="0057231A" w:rsidRPr="0057231A" w:rsidTr="0057231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Teamwork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</w:tr>
      <w:tr w:rsidR="0057231A" w:rsidRPr="0057231A" w:rsidTr="0057231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Emotional intelligence (incl. self-awareness, strength of character, confidence, motivation)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</w:tr>
      <w:tr w:rsidR="0057231A" w:rsidRPr="0057231A" w:rsidTr="0057231A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Leadership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</w:tr>
      <w:tr w:rsidR="0057231A" w:rsidRPr="0057231A" w:rsidTr="0057231A">
        <w:trPr>
          <w:trHeight w:val="315"/>
          <w:jc w:val="center"/>
        </w:trPr>
        <w:tc>
          <w:tcPr>
            <w:tcW w:w="754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 xml:space="preserve">Activities (incl. intra and </w:t>
            </w:r>
            <w:proofErr w:type="spellStart"/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extra curricular</w:t>
            </w:r>
            <w:proofErr w:type="spellEnd"/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57231A" w:rsidRPr="0057231A" w:rsidRDefault="0057231A" w:rsidP="00572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57231A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</w:tr>
    </w:tbl>
    <w:p w:rsidR="003C7D59" w:rsidRPr="000E161D" w:rsidRDefault="003C7D59" w:rsidP="00042191">
      <w:pPr>
        <w:rPr>
          <w:sz w:val="8"/>
          <w:szCs w:val="8"/>
        </w:rPr>
      </w:pPr>
    </w:p>
    <w:p w:rsidR="007600DE" w:rsidRDefault="00CC5ADA">
      <w:pPr>
        <w:pStyle w:val="Heading1"/>
        <w:shd w:val="clear" w:color="auto" w:fill="EEECE1" w:themeFill="background2"/>
        <w:jc w:val="center"/>
        <w:rPr>
          <w:color w:val="244061" w:themeColor="accent1" w:themeShade="80"/>
        </w:rPr>
      </w:pPr>
      <w:r w:rsidRPr="00CC5ADA">
        <w:rPr>
          <w:color w:val="244061" w:themeColor="accent1" w:themeShade="80"/>
        </w:rPr>
        <w:t>Popular methods</w:t>
      </w:r>
      <w:r w:rsidR="00C314F1" w:rsidRPr="00C314F1">
        <w:rPr>
          <w:color w:val="244061" w:themeColor="accent1" w:themeShade="80"/>
        </w:rPr>
        <w:t xml:space="preserve"> to promote your graduate program</w:t>
      </w:r>
    </w:p>
    <w:p w:rsidR="00EA4FDB" w:rsidRPr="00982108" w:rsidRDefault="00EA4FDB" w:rsidP="00042191">
      <w:pPr>
        <w:rPr>
          <w:sz w:val="14"/>
          <w:szCs w:val="14"/>
        </w:rPr>
      </w:pPr>
    </w:p>
    <w:p w:rsidR="00B967F0" w:rsidRPr="00042191" w:rsidRDefault="004C03A2" w:rsidP="00042191">
      <w:pPr>
        <w:jc w:val="both"/>
      </w:pPr>
      <w:r w:rsidRPr="00042191">
        <w:t xml:space="preserve">When </w:t>
      </w:r>
      <w:r w:rsidR="008164ED">
        <w:t>Accounting and Finance</w:t>
      </w:r>
      <w:r w:rsidR="00F47F51" w:rsidRPr="00042191">
        <w:t xml:space="preserve"> employers were </w:t>
      </w:r>
      <w:r w:rsidR="00C314F1" w:rsidRPr="00C314F1">
        <w:t>asked about the methods used to promote their 2011 graduate program (see Figure 3), the vast majority of employers</w:t>
      </w:r>
      <w:r w:rsidR="00AD30B3">
        <w:t>,</w:t>
      </w:r>
      <w:r w:rsidR="007B2915">
        <w:t xml:space="preserve"> who could select more than one response option</w:t>
      </w:r>
      <w:r w:rsidR="00AD30B3">
        <w:t>,</w:t>
      </w:r>
      <w:r w:rsidR="00C314F1" w:rsidRPr="00C314F1">
        <w:t xml:space="preserve"> indicated that</w:t>
      </w:r>
      <w:r w:rsidR="006C38BC">
        <w:t xml:space="preserve"> they promoted their graduate program through</w:t>
      </w:r>
      <w:r w:rsidR="00C314F1" w:rsidRPr="00C314F1">
        <w:t>:</w:t>
      </w:r>
    </w:p>
    <w:p w:rsidR="007600DE" w:rsidRDefault="006C38BC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>
        <w:t>T</w:t>
      </w:r>
      <w:r w:rsidR="00C314F1" w:rsidRPr="00C314F1">
        <w:t xml:space="preserve">heir </w:t>
      </w:r>
      <w:r w:rsidR="00B90E8E" w:rsidRPr="00C314F1">
        <w:rPr>
          <w:b/>
        </w:rPr>
        <w:t>organisation</w:t>
      </w:r>
      <w:r w:rsidR="00B90E8E">
        <w:rPr>
          <w:b/>
        </w:rPr>
        <w:t>’s</w:t>
      </w:r>
      <w:r w:rsidR="00B90E8E" w:rsidRPr="00C314F1">
        <w:rPr>
          <w:b/>
        </w:rPr>
        <w:t xml:space="preserve"> </w:t>
      </w:r>
      <w:r w:rsidR="00C314F1" w:rsidRPr="00C314F1">
        <w:rPr>
          <w:b/>
        </w:rPr>
        <w:t>website</w:t>
      </w:r>
      <w:r w:rsidR="00C314F1" w:rsidRPr="00C314F1">
        <w:t xml:space="preserve"> </w:t>
      </w:r>
      <w:r w:rsidR="003C5889">
        <w:t>(88.0</w:t>
      </w:r>
      <w:r w:rsidR="00756763">
        <w:t>%)</w:t>
      </w:r>
      <w:r w:rsidR="005F7962">
        <w:t>;</w:t>
      </w:r>
    </w:p>
    <w:p w:rsidR="007600DE" w:rsidRDefault="003366F1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>
        <w:rPr>
          <w:b/>
        </w:rPr>
        <w:t xml:space="preserve">University careers </w:t>
      </w:r>
      <w:r w:rsidR="003C5889">
        <w:rPr>
          <w:b/>
        </w:rPr>
        <w:t>services</w:t>
      </w:r>
      <w:r w:rsidR="00836633" w:rsidRPr="00042191">
        <w:t xml:space="preserve"> </w:t>
      </w:r>
      <w:r w:rsidR="00756763">
        <w:t>(</w:t>
      </w:r>
      <w:r w:rsidR="003C5889">
        <w:t>70.0</w:t>
      </w:r>
      <w:r w:rsidR="00756763">
        <w:t>%)</w:t>
      </w:r>
      <w:r w:rsidR="000C632C">
        <w:t>;</w:t>
      </w:r>
    </w:p>
    <w:p w:rsidR="000C632C" w:rsidRDefault="000C632C">
      <w:pPr>
        <w:pStyle w:val="ListParagraph"/>
        <w:numPr>
          <w:ilvl w:val="0"/>
          <w:numId w:val="10"/>
        </w:numPr>
        <w:spacing w:line="360" w:lineRule="auto"/>
        <w:ind w:left="760" w:hanging="357"/>
        <w:jc w:val="both"/>
      </w:pPr>
      <w:r>
        <w:rPr>
          <w:b/>
        </w:rPr>
        <w:t>Univ</w:t>
      </w:r>
      <w:r w:rsidR="003C5889">
        <w:rPr>
          <w:b/>
        </w:rPr>
        <w:t>ersity careers fairs</w:t>
      </w:r>
      <w:r>
        <w:rPr>
          <w:b/>
        </w:rPr>
        <w:t xml:space="preserve"> </w:t>
      </w:r>
      <w:r w:rsidR="003C5889">
        <w:t>(60.0</w:t>
      </w:r>
      <w:r w:rsidRPr="000C632C">
        <w:t>%)</w:t>
      </w:r>
      <w:r>
        <w:t>.</w:t>
      </w:r>
    </w:p>
    <w:p w:rsidR="00B90E8E" w:rsidRDefault="00B90E8E" w:rsidP="00B90E8E">
      <w:pPr>
        <w:spacing w:line="360" w:lineRule="auto"/>
      </w:pPr>
      <w:r w:rsidRPr="00C314F1">
        <w:t xml:space="preserve">The use of traditional ‘Newspaper advertising’ is ranked quite low in comparison to other </w:t>
      </w:r>
      <w:r w:rsidR="00586F0F">
        <w:t xml:space="preserve">types of </w:t>
      </w:r>
      <w:r w:rsidRPr="00C314F1">
        <w:t>promotion methods used.</w:t>
      </w:r>
    </w:p>
    <w:p w:rsidR="009A2CBB" w:rsidRPr="00042191" w:rsidRDefault="00534232" w:rsidP="00042191">
      <w:pPr>
        <w:jc w:val="center"/>
      </w:pPr>
      <w:r w:rsidRPr="00534232">
        <w:rPr>
          <w:noProof/>
          <w:lang w:eastAsia="en-AU"/>
        </w:rPr>
        <w:drawing>
          <wp:inline distT="0" distB="0" distL="0" distR="0">
            <wp:extent cx="5943600" cy="2276475"/>
            <wp:effectExtent l="0" t="0" r="0" b="0"/>
            <wp:docPr id="16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0070" w:rsidRDefault="00C314F1">
      <w:pPr>
        <w:pStyle w:val="Caption"/>
      </w:pPr>
      <w:r w:rsidRPr="00C314F1">
        <w:t>Figure 3: Methods used to promote graduate program, 2011</w:t>
      </w:r>
    </w:p>
    <w:p w:rsidR="007600DE" w:rsidRDefault="00C314F1">
      <w:pPr>
        <w:pStyle w:val="Heading2"/>
        <w:shd w:val="clear" w:color="auto" w:fill="EEECE1" w:themeFill="background2"/>
        <w:jc w:val="center"/>
        <w:rPr>
          <w:color w:val="244061" w:themeColor="accent1" w:themeShade="80"/>
          <w:sz w:val="28"/>
          <w:szCs w:val="28"/>
        </w:rPr>
      </w:pPr>
      <w:r w:rsidRPr="00C314F1">
        <w:rPr>
          <w:color w:val="244061" w:themeColor="accent1" w:themeShade="80"/>
          <w:sz w:val="28"/>
          <w:szCs w:val="28"/>
        </w:rPr>
        <w:lastRenderedPageBreak/>
        <w:t>Why graduates leave an employer</w:t>
      </w:r>
    </w:p>
    <w:p w:rsidR="00F074A5" w:rsidRPr="00042191" w:rsidRDefault="00F074A5" w:rsidP="00042191">
      <w:pPr>
        <w:rPr>
          <w:sz w:val="12"/>
          <w:szCs w:val="12"/>
        </w:rPr>
      </w:pPr>
    </w:p>
    <w:p w:rsidR="00300070" w:rsidRDefault="00C314F1">
      <w:pPr>
        <w:jc w:val="both"/>
      </w:pPr>
      <w:r w:rsidRPr="00C314F1">
        <w:t xml:space="preserve">Employers were </w:t>
      </w:r>
      <w:r w:rsidR="006C38BC">
        <w:t>asked to</w:t>
      </w:r>
      <w:r w:rsidR="0048034C">
        <w:t xml:space="preserve"> rate each of</w:t>
      </w:r>
      <w:r w:rsidRPr="00C314F1">
        <w:t xml:space="preserve"> nine key factors that </w:t>
      </w:r>
      <w:r w:rsidR="006C38BC">
        <w:t xml:space="preserve">can </w:t>
      </w:r>
      <w:r w:rsidRPr="00C314F1">
        <w:t>impact on graduate attrition. These are listed in Figure 4 below in order of the proportion of employers who rated them as being either quite important or very important.</w:t>
      </w:r>
    </w:p>
    <w:p w:rsidR="00300070" w:rsidRDefault="00C314F1">
      <w:pPr>
        <w:tabs>
          <w:tab w:val="left" w:pos="1140"/>
        </w:tabs>
      </w:pPr>
      <w:r w:rsidRPr="00C314F1">
        <w:t xml:space="preserve">Employers from </w:t>
      </w:r>
      <w:r w:rsidR="008164ED">
        <w:t>Accounting and Finance</w:t>
      </w:r>
      <w:r w:rsidRPr="00C314F1">
        <w:t xml:space="preserve"> </w:t>
      </w:r>
      <w:r w:rsidR="0074382E">
        <w:t xml:space="preserve">believe </w:t>
      </w:r>
      <w:r w:rsidR="009D4EB7">
        <w:t>the top three reasons a graduate leaves their employer are</w:t>
      </w:r>
      <w:r w:rsidRPr="00C314F1">
        <w:t>:</w:t>
      </w:r>
    </w:p>
    <w:p w:rsidR="000A2E56" w:rsidRDefault="0000440D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>Their r</w:t>
      </w:r>
      <w:r w:rsidRPr="00C314F1">
        <w:t>elationship with direct manager/supervisor</w:t>
      </w:r>
      <w:r w:rsidR="00EE27B1">
        <w:t>;</w:t>
      </w:r>
    </w:p>
    <w:p w:rsidR="000A2E56" w:rsidRDefault="0000440D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>They are seeking greater opportunities for advancement</w:t>
      </w:r>
      <w:r w:rsidR="00EE27B1">
        <w:t>;</w:t>
      </w:r>
    </w:p>
    <w:p w:rsidR="0052201D" w:rsidRDefault="0000440D" w:rsidP="0052201D">
      <w:pPr>
        <w:pStyle w:val="ListParagraph"/>
        <w:numPr>
          <w:ilvl w:val="0"/>
          <w:numId w:val="13"/>
        </w:numPr>
        <w:tabs>
          <w:tab w:val="left" w:pos="1140"/>
        </w:tabs>
        <w:spacing w:line="360" w:lineRule="auto"/>
      </w:pPr>
      <w:r>
        <w:t>Their</w:t>
      </w:r>
      <w:r w:rsidRPr="00C314F1">
        <w:t xml:space="preserve"> </w:t>
      </w:r>
      <w:r>
        <w:t>d</w:t>
      </w:r>
      <w:r w:rsidRPr="00C314F1">
        <w:t>esire for greater professional development</w:t>
      </w:r>
      <w:r w:rsidR="009D4EB7">
        <w:t>.</w:t>
      </w:r>
    </w:p>
    <w:p w:rsidR="00C84A19" w:rsidRPr="0052201D" w:rsidRDefault="0000440D" w:rsidP="0052201D">
      <w:pPr>
        <w:tabs>
          <w:tab w:val="left" w:pos="1140"/>
        </w:tabs>
        <w:spacing w:line="360" w:lineRule="auto"/>
        <w:jc w:val="center"/>
        <w:rPr>
          <w:b/>
        </w:rPr>
      </w:pPr>
      <w:r w:rsidRPr="0000440D">
        <w:rPr>
          <w:noProof/>
          <w:lang w:eastAsia="en-AU"/>
        </w:rPr>
        <w:drawing>
          <wp:inline distT="0" distB="0" distL="0" distR="0">
            <wp:extent cx="5685750" cy="2880000"/>
            <wp:effectExtent l="0" t="0" r="0" b="0"/>
            <wp:docPr id="18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31690">
        <w:br w:type="textWrapping" w:clear="all"/>
      </w:r>
      <w:r w:rsidR="009D6C22" w:rsidRPr="0052201D">
        <w:rPr>
          <w:b/>
        </w:rPr>
        <w:tab/>
        <w:t xml:space="preserve">Figure 4: </w:t>
      </w:r>
      <w:r w:rsidR="00EF41D7" w:rsidRPr="0052201D">
        <w:rPr>
          <w:b/>
        </w:rPr>
        <w:t>Quite/very important</w:t>
      </w:r>
      <w:r w:rsidR="00EF41D7" w:rsidRPr="0052201D" w:rsidDel="00EF41D7">
        <w:rPr>
          <w:b/>
        </w:rPr>
        <w:t xml:space="preserve"> </w:t>
      </w:r>
      <w:r w:rsidR="00C314F1" w:rsidRPr="0052201D">
        <w:rPr>
          <w:b/>
        </w:rPr>
        <w:t xml:space="preserve">factors in </w:t>
      </w:r>
      <w:r w:rsidR="009D6C22" w:rsidRPr="0052201D">
        <w:rPr>
          <w:b/>
        </w:rPr>
        <w:t>graduate attrition, 2011</w:t>
      </w:r>
    </w:p>
    <w:p w:rsidR="007600DE" w:rsidRDefault="00C314F1" w:rsidP="002F0238">
      <w:pPr>
        <w:pStyle w:val="Heading1"/>
        <w:shd w:val="clear" w:color="auto" w:fill="EEECE1" w:themeFill="background2"/>
        <w:rPr>
          <w:color w:val="244061" w:themeColor="accent1" w:themeShade="80"/>
        </w:rPr>
      </w:pPr>
      <w:r w:rsidRPr="00C314F1">
        <w:rPr>
          <w:color w:val="244061" w:themeColor="accent1" w:themeShade="80"/>
        </w:rPr>
        <w:t>How to retain your graduates</w:t>
      </w:r>
    </w:p>
    <w:p w:rsidR="00615A2A" w:rsidRPr="00042191" w:rsidRDefault="00615A2A" w:rsidP="00042191">
      <w:pPr>
        <w:rPr>
          <w:sz w:val="12"/>
          <w:szCs w:val="12"/>
        </w:rPr>
      </w:pPr>
    </w:p>
    <w:p w:rsidR="007C7420" w:rsidRDefault="007E5E2B">
      <w:pPr>
        <w:jc w:val="both"/>
      </w:pPr>
      <w:r>
        <w:t>Employers were asked to select</w:t>
      </w:r>
      <w:r w:rsidR="00E65D19">
        <w:t xml:space="preserve"> the effectiveness of each</w:t>
      </w:r>
      <w:r>
        <w:t xml:space="preserve"> graduate retention strategies</w:t>
      </w:r>
      <w:r w:rsidR="00C31634">
        <w:t xml:space="preserve"> </w:t>
      </w:r>
      <w:r>
        <w:t>they felt were most effective</w:t>
      </w:r>
      <w:r w:rsidR="00EF41D7">
        <w:t xml:space="preserve"> </w:t>
      </w:r>
      <w:r w:rsidR="00E65D19">
        <w:t xml:space="preserve">to not at all effective </w:t>
      </w:r>
      <w:r>
        <w:t>(see</w:t>
      </w:r>
      <w:r w:rsidR="00C314F1" w:rsidRPr="00C314F1">
        <w:t xml:space="preserve"> Table </w:t>
      </w:r>
      <w:r w:rsidR="001E17F1">
        <w:t>2</w:t>
      </w:r>
      <w:r>
        <w:t>)</w:t>
      </w:r>
      <w:r w:rsidR="00C314F1" w:rsidRPr="00C314F1">
        <w:t xml:space="preserve">. These strategies are ranked in terms of the proportion of employers who considered them to be quite/very effective within </w:t>
      </w:r>
      <w:r w:rsidR="008164ED">
        <w:t>Accounting and Finance</w:t>
      </w:r>
      <w:r w:rsidR="00EF41D7" w:rsidRPr="00C314F1">
        <w:t xml:space="preserve"> industr</w:t>
      </w:r>
      <w:r w:rsidR="00334860">
        <w:t>ies and all industry groups</w:t>
      </w:r>
      <w:r w:rsidR="00C314F1" w:rsidRPr="00C314F1">
        <w:t xml:space="preserve">.  </w:t>
      </w:r>
    </w:p>
    <w:p w:rsidR="00260809" w:rsidRDefault="00260809">
      <w:pPr>
        <w:jc w:val="both"/>
      </w:pPr>
    </w:p>
    <w:p w:rsidR="00260809" w:rsidRDefault="00260809">
      <w:pPr>
        <w:jc w:val="both"/>
      </w:pPr>
    </w:p>
    <w:p w:rsidR="00260809" w:rsidRDefault="00260809">
      <w:pPr>
        <w:jc w:val="both"/>
      </w:pPr>
    </w:p>
    <w:p w:rsidR="00260809" w:rsidRDefault="00260809">
      <w:pPr>
        <w:jc w:val="both"/>
      </w:pPr>
    </w:p>
    <w:p w:rsidR="00260809" w:rsidRDefault="00260809">
      <w:pPr>
        <w:jc w:val="both"/>
      </w:pPr>
    </w:p>
    <w:p w:rsidR="00260809" w:rsidRDefault="00260809">
      <w:pPr>
        <w:jc w:val="both"/>
      </w:pPr>
    </w:p>
    <w:p w:rsidR="00300070" w:rsidRDefault="00C314F1">
      <w:pPr>
        <w:pStyle w:val="Caption"/>
      </w:pPr>
      <w:r w:rsidRPr="00C314F1">
        <w:lastRenderedPageBreak/>
        <w:t xml:space="preserve">Table </w:t>
      </w:r>
      <w:r w:rsidR="001E17F1">
        <w:t>2</w:t>
      </w:r>
      <w:r w:rsidRPr="00C314F1">
        <w:t xml:space="preserve">: </w:t>
      </w:r>
      <w:r w:rsidR="00EF41D7">
        <w:t>Q</w:t>
      </w:r>
      <w:r w:rsidR="00EF41D7" w:rsidRPr="00C314F1">
        <w:t>uite/very effective</w:t>
      </w:r>
      <w:r w:rsidRPr="00C314F1">
        <w:t xml:space="preserve"> graduate retention strategies, 2011 (Rank)</w:t>
      </w:r>
    </w:p>
    <w:tbl>
      <w:tblPr>
        <w:tblW w:w="6580" w:type="dxa"/>
        <w:jc w:val="center"/>
        <w:tblInd w:w="93" w:type="dxa"/>
        <w:tblLook w:val="04A0"/>
      </w:tblPr>
      <w:tblGrid>
        <w:gridCol w:w="4660"/>
        <w:gridCol w:w="960"/>
        <w:gridCol w:w="960"/>
      </w:tblGrid>
      <w:tr w:rsidR="00BF624B" w:rsidRPr="00BF624B" w:rsidTr="00BF624B">
        <w:trPr>
          <w:trHeight w:val="315"/>
          <w:jc w:val="center"/>
        </w:trPr>
        <w:tc>
          <w:tcPr>
            <w:tcW w:w="46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Graduate retention strategy, ranked</w:t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A/F</w:t>
            </w:r>
          </w:p>
        </w:tc>
        <w:tc>
          <w:tcPr>
            <w:tcW w:w="960" w:type="dxa"/>
            <w:tcBorders>
              <w:top w:val="single" w:sz="8" w:space="0" w:color="0F253F"/>
              <w:left w:val="nil"/>
              <w:bottom w:val="single" w:sz="8" w:space="0" w:color="0F253F"/>
              <w:right w:val="nil"/>
            </w:tcBorders>
            <w:shd w:val="clear" w:color="000000" w:fill="FFFFFF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All industr</w:t>
            </w:r>
            <w:r w:rsidR="00334860">
              <w:rPr>
                <w:rFonts w:ascii="Calibri" w:eastAsia="Times New Roman" w:hAnsi="Calibri" w:cs="Calibri"/>
                <w:b/>
                <w:bCs/>
                <w:color w:val="0F253F"/>
                <w:sz w:val="18"/>
                <w:szCs w:val="18"/>
                <w:lang w:eastAsia="en-AU"/>
              </w:rPr>
              <w:t>y groups</w:t>
            </w:r>
          </w:p>
        </w:tc>
      </w:tr>
      <w:tr w:rsidR="00BF624B" w:rsidRPr="00BF624B" w:rsidTr="00BF624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Support for external training and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</w:tr>
      <w:tr w:rsidR="00BF624B" w:rsidRPr="00BF624B" w:rsidTr="00BF624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Internal training and development activities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</w:t>
            </w:r>
          </w:p>
        </w:tc>
      </w:tr>
      <w:tr w:rsidR="00BF624B" w:rsidRPr="00BF624B" w:rsidTr="00BF624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Regular performance appraisals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</w:tr>
      <w:tr w:rsidR="00BF624B" w:rsidRPr="00BF624B" w:rsidTr="00BF624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Mentoring scheme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3</w:t>
            </w:r>
          </w:p>
        </w:tc>
      </w:tr>
      <w:tr w:rsidR="00BF624B" w:rsidRPr="00BF624B" w:rsidTr="00BF624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Specific graduate induction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4</w:t>
            </w:r>
          </w:p>
        </w:tc>
      </w:tr>
      <w:tr w:rsidR="00BF624B" w:rsidRPr="00BF624B" w:rsidTr="00BF624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Buddy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6</w:t>
            </w:r>
          </w:p>
        </w:tc>
      </w:tr>
      <w:tr w:rsidR="00BF624B" w:rsidRPr="00BF624B" w:rsidTr="00BF624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Graduate-focused social activities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</w:tr>
      <w:tr w:rsidR="00BF624B" w:rsidRPr="00BF624B" w:rsidTr="00BF624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Leadership development program for identified ‘stars’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7</w:t>
            </w:r>
          </w:p>
        </w:tc>
      </w:tr>
      <w:tr w:rsidR="00BF624B" w:rsidRPr="00BF624B" w:rsidTr="00BF624B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Performance-based remuneration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9</w:t>
            </w:r>
          </w:p>
        </w:tc>
      </w:tr>
      <w:tr w:rsidR="00BF624B" w:rsidRPr="00BF624B" w:rsidTr="00BF624B">
        <w:trPr>
          <w:trHeight w:val="315"/>
          <w:jc w:val="center"/>
        </w:trPr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Specific area for graduates on website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24B" w:rsidRPr="00BF624B" w:rsidRDefault="00BF624B" w:rsidP="00BF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</w:pPr>
            <w:r w:rsidRPr="00BF624B">
              <w:rPr>
                <w:rFonts w:ascii="Calibri" w:eastAsia="Times New Roman" w:hAnsi="Calibri" w:cs="Calibri"/>
                <w:color w:val="0F253F"/>
                <w:sz w:val="18"/>
                <w:szCs w:val="18"/>
                <w:lang w:eastAsia="en-AU"/>
              </w:rPr>
              <w:t>10</w:t>
            </w:r>
          </w:p>
        </w:tc>
      </w:tr>
    </w:tbl>
    <w:p w:rsidR="00615A2A" w:rsidRPr="00042191" w:rsidRDefault="00615A2A" w:rsidP="00042191">
      <w:pPr>
        <w:rPr>
          <w:sz w:val="16"/>
          <w:szCs w:val="16"/>
        </w:rPr>
      </w:pPr>
    </w:p>
    <w:p w:rsidR="00300070" w:rsidRDefault="008164ED">
      <w:r>
        <w:t>Accounting and Finance</w:t>
      </w:r>
      <w:r w:rsidR="00C314F1" w:rsidRPr="00C314F1">
        <w:t xml:space="preserve"> employers </w:t>
      </w:r>
      <w:r w:rsidR="004B6048">
        <w:t>believed</w:t>
      </w:r>
      <w:r w:rsidR="009E753D">
        <w:t xml:space="preserve"> that the three</w:t>
      </w:r>
      <w:r w:rsidR="00C314F1" w:rsidRPr="00C314F1">
        <w:t xml:space="preserve"> most effective strategies to retain graduates </w:t>
      </w:r>
      <w:r w:rsidR="009E753D">
        <w:t>were</w:t>
      </w:r>
      <w:r w:rsidR="00C314F1" w:rsidRPr="00C314F1">
        <w:t>:</w:t>
      </w:r>
    </w:p>
    <w:p w:rsidR="007600DE" w:rsidRDefault="00C314F1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 w:rsidRPr="00C314F1">
        <w:t>‘</w:t>
      </w:r>
      <w:r w:rsidR="00BF624B" w:rsidRPr="00C314F1">
        <w:t>Support fo</w:t>
      </w:r>
      <w:r w:rsidR="00BF624B">
        <w:t>r external training development</w:t>
      </w:r>
      <w:r w:rsidRPr="00C314F1">
        <w:t>’</w:t>
      </w:r>
      <w:r w:rsidR="00BF624B">
        <w:t>;</w:t>
      </w:r>
    </w:p>
    <w:p w:rsidR="007600DE" w:rsidRDefault="00C314F1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 w:rsidRPr="00C314F1">
        <w:t>‘</w:t>
      </w:r>
      <w:r w:rsidR="00BF624B" w:rsidRPr="00C314F1">
        <w:t>Internal training and development activities</w:t>
      </w:r>
      <w:r w:rsidR="00BF624B">
        <w:t>’;</w:t>
      </w:r>
    </w:p>
    <w:p w:rsidR="009E753D" w:rsidRDefault="009E753D">
      <w:pPr>
        <w:pStyle w:val="ListParagraph"/>
        <w:numPr>
          <w:ilvl w:val="0"/>
          <w:numId w:val="9"/>
        </w:numPr>
        <w:spacing w:line="360" w:lineRule="auto"/>
        <w:ind w:left="714" w:hanging="357"/>
      </w:pPr>
      <w:r>
        <w:t>‘</w:t>
      </w:r>
      <w:r w:rsidR="00EE7085">
        <w:t>Regular performance appraisals’</w:t>
      </w:r>
      <w:r>
        <w:t>.</w:t>
      </w:r>
    </w:p>
    <w:p w:rsidR="00615A2A" w:rsidRDefault="00C314F1" w:rsidP="00042191">
      <w:r w:rsidRPr="00C314F1">
        <w:t>Professional training and development opportunities can further a graduate</w:t>
      </w:r>
      <w:r w:rsidR="005F24AA">
        <w:t>’</w:t>
      </w:r>
      <w:r w:rsidRPr="00C314F1">
        <w:t>s knowledge and skill-set. Employers using these as retention strategies may also view this as a way to foster a longer-term commitment from a graduate.</w:t>
      </w:r>
    </w:p>
    <w:p w:rsidR="000F7BCE" w:rsidRPr="00042191" w:rsidRDefault="000F7BCE" w:rsidP="00042191"/>
    <w:p w:rsidR="000F7BCE" w:rsidRDefault="000F7BCE" w:rsidP="000F7BCE">
      <w:pPr>
        <w:shd w:val="clear" w:color="auto" w:fill="EEECE1" w:themeFill="background2"/>
        <w:tabs>
          <w:tab w:val="left" w:pos="1140"/>
        </w:tabs>
      </w:pPr>
      <w:r w:rsidRPr="00C314F1">
        <w:t>______________________________________________________________________________________________</w:t>
      </w:r>
    </w:p>
    <w:p w:rsidR="000F7BCE" w:rsidRDefault="000F7BCE" w:rsidP="000F7BCE">
      <w:pPr>
        <w:shd w:val="clear" w:color="auto" w:fill="EEECE1" w:themeFill="background2"/>
        <w:tabs>
          <w:tab w:val="left" w:pos="1140"/>
        </w:tabs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</w:rPr>
      </w:pPr>
      <w:r w:rsidRPr="00C314F1">
        <w:rPr>
          <w:rFonts w:asciiTheme="majorHAnsi" w:eastAsiaTheme="majorEastAsia" w:hAnsiTheme="majorHAnsi" w:cstheme="majorBidi"/>
          <w:b/>
          <w:bCs/>
          <w:color w:val="244061" w:themeColor="accent1" w:themeShade="80"/>
          <w:sz w:val="28"/>
          <w:szCs w:val="28"/>
        </w:rPr>
        <w:t>Further Information:</w:t>
      </w:r>
    </w:p>
    <w:p w:rsidR="000F7BCE" w:rsidRDefault="000F7BCE" w:rsidP="000F7BCE">
      <w:pPr>
        <w:shd w:val="clear" w:color="auto" w:fill="EEECE1"/>
      </w:pPr>
      <w:r>
        <w:t xml:space="preserve">The Graduate Outlook Survey is one of a number of graduate outcomes surveys conducted annually by Graduate Careers Australia (GCA). </w:t>
      </w:r>
    </w:p>
    <w:p w:rsidR="000F7BCE" w:rsidRDefault="000F7BCE" w:rsidP="000F7BCE">
      <w:pPr>
        <w:shd w:val="clear" w:color="auto" w:fill="EEECE1"/>
      </w:pPr>
      <w:r>
        <w:t>GCA produce a number of free reports on graduate outcomes data each year, as well as offer</w:t>
      </w:r>
      <w:r w:rsidR="005F24AA">
        <w:t>ing</w:t>
      </w:r>
      <w:r>
        <w:t xml:space="preserve"> tailored reporting and data solutions on graduate recruitment practices and trends within Australasia. </w:t>
      </w:r>
    </w:p>
    <w:p w:rsidR="007600DE" w:rsidRDefault="000F7BCE" w:rsidP="00C728BB">
      <w:pPr>
        <w:shd w:val="clear" w:color="auto" w:fill="EEECE1"/>
      </w:pPr>
      <w:r>
        <w:t xml:space="preserve">GCA is a not-for-profit organisation whose research work is largely federal government funded. We also produce a number of careers resources for students and graduates, including </w:t>
      </w:r>
      <w:r w:rsidR="00F7702A" w:rsidRPr="00C728BB">
        <w:t>Graduate Opportunities</w:t>
      </w:r>
      <w:r>
        <w:t xml:space="preserve">. For more information about the valuable work we do, please contact the GCA research team on (03) 9605 3700 or </w:t>
      </w:r>
      <w:hyperlink r:id="rId12" w:history="1">
        <w:r w:rsidRPr="00C728BB">
          <w:t>research@graduatecareers.com.au</w:t>
        </w:r>
      </w:hyperlink>
      <w:r>
        <w:t xml:space="preserve"> or </w:t>
      </w:r>
      <w:r w:rsidR="005F24AA">
        <w:t>visit</w:t>
      </w:r>
      <w:r>
        <w:t xml:space="preserve"> our website at </w:t>
      </w:r>
      <w:hyperlink r:id="rId13" w:history="1">
        <w:r w:rsidRPr="00C728BB">
          <w:t>www.graduatecareers.com.au</w:t>
        </w:r>
      </w:hyperlink>
    </w:p>
    <w:sectPr w:rsidR="007600DE" w:rsidSect="0030007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pgBorders w:offsetFrom="page">
        <w:top w:val="single" w:sz="12" w:space="24" w:color="FFFFFF" w:themeColor="background1"/>
        <w:left w:val="single" w:sz="12" w:space="24" w:color="FFFFFF" w:themeColor="background1"/>
        <w:bottom w:val="single" w:sz="12" w:space="24" w:color="FFFFFF" w:themeColor="background1"/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AE" w:rsidRDefault="00A113AE" w:rsidP="00EF5B37">
      <w:pPr>
        <w:spacing w:after="0" w:line="240" w:lineRule="auto"/>
      </w:pPr>
      <w:r>
        <w:separator/>
      </w:r>
    </w:p>
  </w:endnote>
  <w:endnote w:type="continuationSeparator" w:id="0">
    <w:p w:rsidR="00A113AE" w:rsidRDefault="00A113AE" w:rsidP="00EF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3568"/>
      <w:docPartObj>
        <w:docPartGallery w:val="Page Numbers (Bottom of Page)"/>
        <w:docPartUnique/>
      </w:docPartObj>
    </w:sdtPr>
    <w:sdtContent>
      <w:p w:rsidR="00A113AE" w:rsidRDefault="00A113AE">
        <w:pPr>
          <w:pStyle w:val="Footer"/>
          <w:jc w:val="right"/>
        </w:pPr>
        <w:r>
          <w:t xml:space="preserve">Page | </w:t>
        </w:r>
        <w:fldSimple w:instr=" PAGE   \* MERGEFORMAT ">
          <w:r w:rsidR="00AD30B3">
            <w:rPr>
              <w:noProof/>
            </w:rPr>
            <w:t>2</w:t>
          </w:r>
        </w:fldSimple>
        <w:r>
          <w:t xml:space="preserve"> </w:t>
        </w:r>
      </w:p>
    </w:sdtContent>
  </w:sdt>
  <w:p w:rsidR="00A113AE" w:rsidRDefault="00A113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744"/>
      <w:docPartObj>
        <w:docPartGallery w:val="Page Numbers (Bottom of Page)"/>
        <w:docPartUnique/>
      </w:docPartObj>
    </w:sdtPr>
    <w:sdtContent>
      <w:p w:rsidR="00A113AE" w:rsidRDefault="00A113AE">
        <w:pPr>
          <w:pStyle w:val="Footer"/>
          <w:jc w:val="right"/>
        </w:pPr>
        <w:r>
          <w:t xml:space="preserve">Page | </w:t>
        </w:r>
        <w:fldSimple w:instr=" PAGE   \* MERGEFORMAT ">
          <w:r w:rsidR="00AD30B3">
            <w:rPr>
              <w:noProof/>
            </w:rPr>
            <w:t>1</w:t>
          </w:r>
        </w:fldSimple>
        <w:r>
          <w:t xml:space="preserve"> </w:t>
        </w:r>
      </w:p>
    </w:sdtContent>
  </w:sdt>
  <w:p w:rsidR="00A113AE" w:rsidRDefault="00A11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AE" w:rsidRDefault="00A113AE" w:rsidP="00EF5B37">
      <w:pPr>
        <w:spacing w:after="0" w:line="240" w:lineRule="auto"/>
      </w:pPr>
      <w:r>
        <w:separator/>
      </w:r>
    </w:p>
  </w:footnote>
  <w:footnote w:type="continuationSeparator" w:id="0">
    <w:p w:rsidR="00A113AE" w:rsidRDefault="00A113AE" w:rsidP="00EF5B37">
      <w:pPr>
        <w:spacing w:after="0" w:line="240" w:lineRule="auto"/>
      </w:pPr>
      <w:r>
        <w:continuationSeparator/>
      </w:r>
    </w:p>
  </w:footnote>
  <w:footnote w:id="1">
    <w:p w:rsidR="00A113AE" w:rsidRDefault="00A113AE" w:rsidP="00F72960">
      <w:pPr>
        <w:pStyle w:val="FootnoteText"/>
      </w:pPr>
      <w:r>
        <w:rPr>
          <w:rStyle w:val="FootnoteReference"/>
        </w:rPr>
        <w:footnoteRef/>
      </w:r>
      <w:r>
        <w:t xml:space="preserve"> Accounting and Finance</w:t>
      </w:r>
    </w:p>
  </w:footnote>
  <w:footnote w:id="2">
    <w:p w:rsidR="00A113AE" w:rsidRDefault="00A113AE">
      <w:pPr>
        <w:pStyle w:val="FootnoteText"/>
      </w:pPr>
      <w:r>
        <w:rPr>
          <w:rStyle w:val="FootnoteReference"/>
        </w:rPr>
        <w:footnoteRef/>
      </w:r>
      <w:r>
        <w:t xml:space="preserve"> Accounting and Finance</w:t>
      </w:r>
    </w:p>
  </w:footnote>
  <w:footnote w:id="3">
    <w:p w:rsidR="003707E7" w:rsidRDefault="003707E7">
      <w:pPr>
        <w:pStyle w:val="FootnoteText"/>
      </w:pPr>
      <w:r>
        <w:rPr>
          <w:rStyle w:val="FootnoteReference"/>
        </w:rPr>
        <w:footnoteRef/>
      </w:r>
      <w:r>
        <w:t xml:space="preserve"> Accounting and Finance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AE" w:rsidRDefault="00A113AE">
    <w:pPr>
      <w:pStyle w:val="Header"/>
      <w:jc w:val="center"/>
    </w:pPr>
  </w:p>
  <w:p w:rsidR="00A113AE" w:rsidRDefault="00A113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AE" w:rsidRDefault="00A113AE">
    <w:pPr>
      <w:pStyle w:val="Header"/>
    </w:pPr>
    <w:r w:rsidRPr="005A2E0E">
      <w:rPr>
        <w:noProof/>
        <w:lang w:eastAsia="en-AU"/>
      </w:rPr>
      <w:drawing>
        <wp:inline distT="0" distB="0" distL="0" distR="0">
          <wp:extent cx="6582966" cy="1047750"/>
          <wp:effectExtent l="19050" t="0" r="8334" b="0"/>
          <wp:docPr id="3" name="Picture 7" descr="S:\Research\Graduate Outlook Survey\2008 GOS\GoS_masthea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Research\Graduate Outlook Survey\2008 GOS\GoS_masthea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966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6B"/>
      </v:shape>
    </w:pict>
  </w:numPicBullet>
  <w:abstractNum w:abstractNumId="0">
    <w:nsid w:val="0DF40BD6"/>
    <w:multiLevelType w:val="hybridMultilevel"/>
    <w:tmpl w:val="A0D6CAA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1DA6"/>
    <w:multiLevelType w:val="hybridMultilevel"/>
    <w:tmpl w:val="41DE2FC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8520366"/>
    <w:multiLevelType w:val="hybridMultilevel"/>
    <w:tmpl w:val="16A0689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275C"/>
    <w:multiLevelType w:val="hybridMultilevel"/>
    <w:tmpl w:val="241CC3D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A54EC"/>
    <w:multiLevelType w:val="hybridMultilevel"/>
    <w:tmpl w:val="1C7AD1DA"/>
    <w:lvl w:ilvl="0" w:tplc="EA7AD2B6">
      <w:start w:val="20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573AB5"/>
    <w:multiLevelType w:val="hybridMultilevel"/>
    <w:tmpl w:val="E5D4AAC2"/>
    <w:lvl w:ilvl="0" w:tplc="0C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EF6647"/>
    <w:multiLevelType w:val="hybridMultilevel"/>
    <w:tmpl w:val="EAA692D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4355E"/>
    <w:multiLevelType w:val="hybridMultilevel"/>
    <w:tmpl w:val="32FC4E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253D"/>
    <w:multiLevelType w:val="hybridMultilevel"/>
    <w:tmpl w:val="BF56C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D5E69"/>
    <w:multiLevelType w:val="hybridMultilevel"/>
    <w:tmpl w:val="34F4D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432E"/>
    <w:multiLevelType w:val="hybridMultilevel"/>
    <w:tmpl w:val="04FC8D50"/>
    <w:lvl w:ilvl="0" w:tplc="EC367716">
      <w:start w:val="20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BC718E"/>
    <w:multiLevelType w:val="hybridMultilevel"/>
    <w:tmpl w:val="646ABB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B229D"/>
    <w:multiLevelType w:val="hybridMultilevel"/>
    <w:tmpl w:val="55447A66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56CF"/>
    <w:rsid w:val="00002AA7"/>
    <w:rsid w:val="0000440D"/>
    <w:rsid w:val="00006B7C"/>
    <w:rsid w:val="0000768D"/>
    <w:rsid w:val="00011B71"/>
    <w:rsid w:val="00020F72"/>
    <w:rsid w:val="00020FD7"/>
    <w:rsid w:val="000254D5"/>
    <w:rsid w:val="0003652E"/>
    <w:rsid w:val="00042191"/>
    <w:rsid w:val="000421DB"/>
    <w:rsid w:val="00044C40"/>
    <w:rsid w:val="00047491"/>
    <w:rsid w:val="0005064B"/>
    <w:rsid w:val="00056C3E"/>
    <w:rsid w:val="00061550"/>
    <w:rsid w:val="00062869"/>
    <w:rsid w:val="00063F0A"/>
    <w:rsid w:val="0006455E"/>
    <w:rsid w:val="00065279"/>
    <w:rsid w:val="00067307"/>
    <w:rsid w:val="000676A0"/>
    <w:rsid w:val="000722DA"/>
    <w:rsid w:val="00072683"/>
    <w:rsid w:val="00073E76"/>
    <w:rsid w:val="00075A04"/>
    <w:rsid w:val="0008014A"/>
    <w:rsid w:val="000813AC"/>
    <w:rsid w:val="000859AA"/>
    <w:rsid w:val="0008695C"/>
    <w:rsid w:val="00092A39"/>
    <w:rsid w:val="000A1940"/>
    <w:rsid w:val="000A2E56"/>
    <w:rsid w:val="000A3B34"/>
    <w:rsid w:val="000A73FA"/>
    <w:rsid w:val="000B5816"/>
    <w:rsid w:val="000B5D12"/>
    <w:rsid w:val="000C20B5"/>
    <w:rsid w:val="000C56CF"/>
    <w:rsid w:val="000C632C"/>
    <w:rsid w:val="000C71AD"/>
    <w:rsid w:val="000C7D64"/>
    <w:rsid w:val="000D12DD"/>
    <w:rsid w:val="000D267B"/>
    <w:rsid w:val="000D3B75"/>
    <w:rsid w:val="000D6A1D"/>
    <w:rsid w:val="000E0AD1"/>
    <w:rsid w:val="000E161D"/>
    <w:rsid w:val="000E5C8B"/>
    <w:rsid w:val="000F0D00"/>
    <w:rsid w:val="000F570F"/>
    <w:rsid w:val="000F653E"/>
    <w:rsid w:val="000F7BCE"/>
    <w:rsid w:val="00104FFF"/>
    <w:rsid w:val="001113AB"/>
    <w:rsid w:val="0011161B"/>
    <w:rsid w:val="00113435"/>
    <w:rsid w:val="00115F29"/>
    <w:rsid w:val="0012277C"/>
    <w:rsid w:val="001231C0"/>
    <w:rsid w:val="00123DD6"/>
    <w:rsid w:val="001271E7"/>
    <w:rsid w:val="00127DFC"/>
    <w:rsid w:val="00133EB2"/>
    <w:rsid w:val="0013775F"/>
    <w:rsid w:val="00137A80"/>
    <w:rsid w:val="00140E7C"/>
    <w:rsid w:val="00141ACB"/>
    <w:rsid w:val="00152244"/>
    <w:rsid w:val="0015464E"/>
    <w:rsid w:val="0015735B"/>
    <w:rsid w:val="00167813"/>
    <w:rsid w:val="00167857"/>
    <w:rsid w:val="00170263"/>
    <w:rsid w:val="00171A74"/>
    <w:rsid w:val="00173194"/>
    <w:rsid w:val="00174521"/>
    <w:rsid w:val="001757ED"/>
    <w:rsid w:val="001759F6"/>
    <w:rsid w:val="00177B58"/>
    <w:rsid w:val="0018348A"/>
    <w:rsid w:val="001838F4"/>
    <w:rsid w:val="0018689F"/>
    <w:rsid w:val="0019272C"/>
    <w:rsid w:val="0019559C"/>
    <w:rsid w:val="001A17AF"/>
    <w:rsid w:val="001A39F1"/>
    <w:rsid w:val="001A6420"/>
    <w:rsid w:val="001B4915"/>
    <w:rsid w:val="001B59AC"/>
    <w:rsid w:val="001C03E9"/>
    <w:rsid w:val="001C1A65"/>
    <w:rsid w:val="001C1B80"/>
    <w:rsid w:val="001C3541"/>
    <w:rsid w:val="001C49F2"/>
    <w:rsid w:val="001C4C57"/>
    <w:rsid w:val="001C72A8"/>
    <w:rsid w:val="001C7B7A"/>
    <w:rsid w:val="001D142A"/>
    <w:rsid w:val="001D664A"/>
    <w:rsid w:val="001D6ECF"/>
    <w:rsid w:val="001E17F1"/>
    <w:rsid w:val="001E4592"/>
    <w:rsid w:val="001E66E6"/>
    <w:rsid w:val="001F4025"/>
    <w:rsid w:val="001F4321"/>
    <w:rsid w:val="00204AE2"/>
    <w:rsid w:val="00207638"/>
    <w:rsid w:val="00210146"/>
    <w:rsid w:val="00216EDE"/>
    <w:rsid w:val="00220547"/>
    <w:rsid w:val="00220DBA"/>
    <w:rsid w:val="00222172"/>
    <w:rsid w:val="00225262"/>
    <w:rsid w:val="002262E5"/>
    <w:rsid w:val="0022795F"/>
    <w:rsid w:val="00234F0B"/>
    <w:rsid w:val="0023727A"/>
    <w:rsid w:val="00237CDE"/>
    <w:rsid w:val="0024184C"/>
    <w:rsid w:val="00241E1B"/>
    <w:rsid w:val="00247DD5"/>
    <w:rsid w:val="00250D80"/>
    <w:rsid w:val="00256924"/>
    <w:rsid w:val="00260809"/>
    <w:rsid w:val="002614DF"/>
    <w:rsid w:val="0026225E"/>
    <w:rsid w:val="00263C5A"/>
    <w:rsid w:val="0026426B"/>
    <w:rsid w:val="00265C2F"/>
    <w:rsid w:val="00266896"/>
    <w:rsid w:val="0026769F"/>
    <w:rsid w:val="00267EF0"/>
    <w:rsid w:val="00275D56"/>
    <w:rsid w:val="002817D1"/>
    <w:rsid w:val="00287387"/>
    <w:rsid w:val="00293E2B"/>
    <w:rsid w:val="002955FF"/>
    <w:rsid w:val="002972F9"/>
    <w:rsid w:val="002A0003"/>
    <w:rsid w:val="002A32FB"/>
    <w:rsid w:val="002A45B7"/>
    <w:rsid w:val="002A4F1F"/>
    <w:rsid w:val="002A516B"/>
    <w:rsid w:val="002A6401"/>
    <w:rsid w:val="002B1965"/>
    <w:rsid w:val="002B1EFC"/>
    <w:rsid w:val="002B3AFF"/>
    <w:rsid w:val="002B3B86"/>
    <w:rsid w:val="002B622D"/>
    <w:rsid w:val="002B7036"/>
    <w:rsid w:val="002C3332"/>
    <w:rsid w:val="002C4C11"/>
    <w:rsid w:val="002C688E"/>
    <w:rsid w:val="002D25ED"/>
    <w:rsid w:val="002D6518"/>
    <w:rsid w:val="002E2BC8"/>
    <w:rsid w:val="002E4FCC"/>
    <w:rsid w:val="002F022D"/>
    <w:rsid w:val="002F0238"/>
    <w:rsid w:val="002F3197"/>
    <w:rsid w:val="002F3732"/>
    <w:rsid w:val="00300070"/>
    <w:rsid w:val="00301F06"/>
    <w:rsid w:val="0030548A"/>
    <w:rsid w:val="003111D2"/>
    <w:rsid w:val="0031395A"/>
    <w:rsid w:val="00316269"/>
    <w:rsid w:val="00317DB0"/>
    <w:rsid w:val="00321B47"/>
    <w:rsid w:val="00322BBE"/>
    <w:rsid w:val="00324502"/>
    <w:rsid w:val="00325BB3"/>
    <w:rsid w:val="00326673"/>
    <w:rsid w:val="0032729B"/>
    <w:rsid w:val="00334860"/>
    <w:rsid w:val="003366F1"/>
    <w:rsid w:val="0034118E"/>
    <w:rsid w:val="00344E90"/>
    <w:rsid w:val="00347514"/>
    <w:rsid w:val="00352ACC"/>
    <w:rsid w:val="00353F89"/>
    <w:rsid w:val="00364BB3"/>
    <w:rsid w:val="003664E6"/>
    <w:rsid w:val="00367C78"/>
    <w:rsid w:val="003707E7"/>
    <w:rsid w:val="003761FB"/>
    <w:rsid w:val="00383E18"/>
    <w:rsid w:val="003843C4"/>
    <w:rsid w:val="00386F02"/>
    <w:rsid w:val="00392BE3"/>
    <w:rsid w:val="003945E0"/>
    <w:rsid w:val="003A1C11"/>
    <w:rsid w:val="003A2EE6"/>
    <w:rsid w:val="003A3103"/>
    <w:rsid w:val="003A47C3"/>
    <w:rsid w:val="003A4C3D"/>
    <w:rsid w:val="003A5C1D"/>
    <w:rsid w:val="003A643A"/>
    <w:rsid w:val="003A74DB"/>
    <w:rsid w:val="003B0A57"/>
    <w:rsid w:val="003B5757"/>
    <w:rsid w:val="003B6AED"/>
    <w:rsid w:val="003B7507"/>
    <w:rsid w:val="003C2834"/>
    <w:rsid w:val="003C3DCC"/>
    <w:rsid w:val="003C4103"/>
    <w:rsid w:val="003C414E"/>
    <w:rsid w:val="003C44C4"/>
    <w:rsid w:val="003C4D04"/>
    <w:rsid w:val="003C52CB"/>
    <w:rsid w:val="003C5762"/>
    <w:rsid w:val="003C5889"/>
    <w:rsid w:val="003C7D59"/>
    <w:rsid w:val="003D3B5A"/>
    <w:rsid w:val="003D5F75"/>
    <w:rsid w:val="003D7327"/>
    <w:rsid w:val="003D7F4D"/>
    <w:rsid w:val="003E0927"/>
    <w:rsid w:val="003E11D6"/>
    <w:rsid w:val="003E141A"/>
    <w:rsid w:val="003F21ED"/>
    <w:rsid w:val="003F4146"/>
    <w:rsid w:val="003F437C"/>
    <w:rsid w:val="00401DF8"/>
    <w:rsid w:val="00403275"/>
    <w:rsid w:val="00403993"/>
    <w:rsid w:val="00407837"/>
    <w:rsid w:val="00407CCD"/>
    <w:rsid w:val="00407ECD"/>
    <w:rsid w:val="004116D3"/>
    <w:rsid w:val="00412F34"/>
    <w:rsid w:val="00422D5B"/>
    <w:rsid w:val="00423344"/>
    <w:rsid w:val="00423E59"/>
    <w:rsid w:val="00425FEC"/>
    <w:rsid w:val="004270FC"/>
    <w:rsid w:val="00430A2B"/>
    <w:rsid w:val="00430F72"/>
    <w:rsid w:val="00431FEA"/>
    <w:rsid w:val="004358B0"/>
    <w:rsid w:val="00441C93"/>
    <w:rsid w:val="00450930"/>
    <w:rsid w:val="00451483"/>
    <w:rsid w:val="004557E7"/>
    <w:rsid w:val="00457908"/>
    <w:rsid w:val="00460F72"/>
    <w:rsid w:val="00464328"/>
    <w:rsid w:val="00464575"/>
    <w:rsid w:val="004652B6"/>
    <w:rsid w:val="00466AE0"/>
    <w:rsid w:val="004713A3"/>
    <w:rsid w:val="00471BE3"/>
    <w:rsid w:val="004720B4"/>
    <w:rsid w:val="004733EA"/>
    <w:rsid w:val="00474E7B"/>
    <w:rsid w:val="00475075"/>
    <w:rsid w:val="004753BA"/>
    <w:rsid w:val="00475779"/>
    <w:rsid w:val="00477029"/>
    <w:rsid w:val="0048034C"/>
    <w:rsid w:val="0048353E"/>
    <w:rsid w:val="0048437E"/>
    <w:rsid w:val="004865B9"/>
    <w:rsid w:val="00492E26"/>
    <w:rsid w:val="00493580"/>
    <w:rsid w:val="00493ABE"/>
    <w:rsid w:val="00493F38"/>
    <w:rsid w:val="00494087"/>
    <w:rsid w:val="00495936"/>
    <w:rsid w:val="004961C9"/>
    <w:rsid w:val="004A283D"/>
    <w:rsid w:val="004A4DCD"/>
    <w:rsid w:val="004A631E"/>
    <w:rsid w:val="004B0D50"/>
    <w:rsid w:val="004B5CE2"/>
    <w:rsid w:val="004B6048"/>
    <w:rsid w:val="004B6A03"/>
    <w:rsid w:val="004B7A7A"/>
    <w:rsid w:val="004C03A2"/>
    <w:rsid w:val="004C1099"/>
    <w:rsid w:val="004C18F9"/>
    <w:rsid w:val="004C3883"/>
    <w:rsid w:val="004C6C78"/>
    <w:rsid w:val="004C7D03"/>
    <w:rsid w:val="004D5DB4"/>
    <w:rsid w:val="004D66DF"/>
    <w:rsid w:val="004E15FC"/>
    <w:rsid w:val="004E4541"/>
    <w:rsid w:val="004E757A"/>
    <w:rsid w:val="004F0A70"/>
    <w:rsid w:val="004F2326"/>
    <w:rsid w:val="004F55CC"/>
    <w:rsid w:val="004F5B97"/>
    <w:rsid w:val="004F62C8"/>
    <w:rsid w:val="004F74A8"/>
    <w:rsid w:val="005033DA"/>
    <w:rsid w:val="00503B18"/>
    <w:rsid w:val="00503B28"/>
    <w:rsid w:val="00503DFF"/>
    <w:rsid w:val="005072B3"/>
    <w:rsid w:val="005104E1"/>
    <w:rsid w:val="0051181A"/>
    <w:rsid w:val="00513393"/>
    <w:rsid w:val="00515566"/>
    <w:rsid w:val="00515933"/>
    <w:rsid w:val="00517D3F"/>
    <w:rsid w:val="0052201D"/>
    <w:rsid w:val="005236AF"/>
    <w:rsid w:val="00523979"/>
    <w:rsid w:val="00523DBE"/>
    <w:rsid w:val="00527D14"/>
    <w:rsid w:val="00531690"/>
    <w:rsid w:val="00531F83"/>
    <w:rsid w:val="00534232"/>
    <w:rsid w:val="005422D4"/>
    <w:rsid w:val="00546442"/>
    <w:rsid w:val="00546E92"/>
    <w:rsid w:val="005531BE"/>
    <w:rsid w:val="00560ACA"/>
    <w:rsid w:val="0057231A"/>
    <w:rsid w:val="005748CE"/>
    <w:rsid w:val="005802D8"/>
    <w:rsid w:val="0058059F"/>
    <w:rsid w:val="00580BE7"/>
    <w:rsid w:val="00586F0F"/>
    <w:rsid w:val="0058702E"/>
    <w:rsid w:val="005951C5"/>
    <w:rsid w:val="005A00EF"/>
    <w:rsid w:val="005A2A5A"/>
    <w:rsid w:val="005A2E0E"/>
    <w:rsid w:val="005A4AD8"/>
    <w:rsid w:val="005B2A9B"/>
    <w:rsid w:val="005B4127"/>
    <w:rsid w:val="005B53EB"/>
    <w:rsid w:val="005B7699"/>
    <w:rsid w:val="005C535B"/>
    <w:rsid w:val="005C7880"/>
    <w:rsid w:val="005D6936"/>
    <w:rsid w:val="005E1C59"/>
    <w:rsid w:val="005E52E4"/>
    <w:rsid w:val="005F18AD"/>
    <w:rsid w:val="005F24AA"/>
    <w:rsid w:val="005F75B1"/>
    <w:rsid w:val="005F7962"/>
    <w:rsid w:val="00600FFB"/>
    <w:rsid w:val="00602638"/>
    <w:rsid w:val="006039FE"/>
    <w:rsid w:val="00607261"/>
    <w:rsid w:val="00611466"/>
    <w:rsid w:val="006137CB"/>
    <w:rsid w:val="00614906"/>
    <w:rsid w:val="00615A2A"/>
    <w:rsid w:val="00616C6E"/>
    <w:rsid w:val="006172A0"/>
    <w:rsid w:val="00617589"/>
    <w:rsid w:val="00624B4C"/>
    <w:rsid w:val="00624C28"/>
    <w:rsid w:val="00624EDA"/>
    <w:rsid w:val="00625EA9"/>
    <w:rsid w:val="006264E8"/>
    <w:rsid w:val="00630848"/>
    <w:rsid w:val="00636443"/>
    <w:rsid w:val="0063645D"/>
    <w:rsid w:val="00637FE7"/>
    <w:rsid w:val="00641AEE"/>
    <w:rsid w:val="00644068"/>
    <w:rsid w:val="0064627F"/>
    <w:rsid w:val="0064639E"/>
    <w:rsid w:val="00653C31"/>
    <w:rsid w:val="006558BE"/>
    <w:rsid w:val="00656510"/>
    <w:rsid w:val="00656D03"/>
    <w:rsid w:val="00660FC9"/>
    <w:rsid w:val="006703F0"/>
    <w:rsid w:val="00673000"/>
    <w:rsid w:val="00673DAC"/>
    <w:rsid w:val="00680862"/>
    <w:rsid w:val="006839EB"/>
    <w:rsid w:val="006856C0"/>
    <w:rsid w:val="00690596"/>
    <w:rsid w:val="00690CDF"/>
    <w:rsid w:val="006A1680"/>
    <w:rsid w:val="006A2FC1"/>
    <w:rsid w:val="006A403D"/>
    <w:rsid w:val="006B0143"/>
    <w:rsid w:val="006B0437"/>
    <w:rsid w:val="006B0717"/>
    <w:rsid w:val="006B21FB"/>
    <w:rsid w:val="006B250B"/>
    <w:rsid w:val="006B43AC"/>
    <w:rsid w:val="006B6E4B"/>
    <w:rsid w:val="006C328F"/>
    <w:rsid w:val="006C38BC"/>
    <w:rsid w:val="006C601C"/>
    <w:rsid w:val="006C6F62"/>
    <w:rsid w:val="006D0263"/>
    <w:rsid w:val="006D2F7E"/>
    <w:rsid w:val="006D569E"/>
    <w:rsid w:val="006D5BDD"/>
    <w:rsid w:val="006F02B5"/>
    <w:rsid w:val="006F11FA"/>
    <w:rsid w:val="007001F8"/>
    <w:rsid w:val="00702D13"/>
    <w:rsid w:val="007033CB"/>
    <w:rsid w:val="00703B5C"/>
    <w:rsid w:val="00704B30"/>
    <w:rsid w:val="007060E8"/>
    <w:rsid w:val="00707BC4"/>
    <w:rsid w:val="007110B2"/>
    <w:rsid w:val="00711496"/>
    <w:rsid w:val="00712391"/>
    <w:rsid w:val="00715C19"/>
    <w:rsid w:val="00715CDE"/>
    <w:rsid w:val="00715F33"/>
    <w:rsid w:val="007165B0"/>
    <w:rsid w:val="00717033"/>
    <w:rsid w:val="00727BCF"/>
    <w:rsid w:val="00731E4A"/>
    <w:rsid w:val="00732D21"/>
    <w:rsid w:val="007425FF"/>
    <w:rsid w:val="0074382E"/>
    <w:rsid w:val="00745D86"/>
    <w:rsid w:val="0075182F"/>
    <w:rsid w:val="00756763"/>
    <w:rsid w:val="007600DE"/>
    <w:rsid w:val="00760DA2"/>
    <w:rsid w:val="00762C5F"/>
    <w:rsid w:val="007664FB"/>
    <w:rsid w:val="007715A1"/>
    <w:rsid w:val="007755D7"/>
    <w:rsid w:val="00780EB2"/>
    <w:rsid w:val="00790060"/>
    <w:rsid w:val="00790093"/>
    <w:rsid w:val="00790A34"/>
    <w:rsid w:val="007A0646"/>
    <w:rsid w:val="007A0A1B"/>
    <w:rsid w:val="007A0B07"/>
    <w:rsid w:val="007A5877"/>
    <w:rsid w:val="007A5B4C"/>
    <w:rsid w:val="007A7760"/>
    <w:rsid w:val="007B0D5D"/>
    <w:rsid w:val="007B24C5"/>
    <w:rsid w:val="007B2915"/>
    <w:rsid w:val="007B3142"/>
    <w:rsid w:val="007B36E8"/>
    <w:rsid w:val="007B3BA4"/>
    <w:rsid w:val="007B5990"/>
    <w:rsid w:val="007B6F74"/>
    <w:rsid w:val="007C1377"/>
    <w:rsid w:val="007C7420"/>
    <w:rsid w:val="007D0225"/>
    <w:rsid w:val="007E0160"/>
    <w:rsid w:val="007E0709"/>
    <w:rsid w:val="007E49FE"/>
    <w:rsid w:val="007E521D"/>
    <w:rsid w:val="007E5E2B"/>
    <w:rsid w:val="007E60C1"/>
    <w:rsid w:val="007E6EF9"/>
    <w:rsid w:val="007F1985"/>
    <w:rsid w:val="007F2862"/>
    <w:rsid w:val="007F3C15"/>
    <w:rsid w:val="007F57A8"/>
    <w:rsid w:val="007F685E"/>
    <w:rsid w:val="00804A3F"/>
    <w:rsid w:val="0080747B"/>
    <w:rsid w:val="00812C2A"/>
    <w:rsid w:val="00813621"/>
    <w:rsid w:val="00813FBE"/>
    <w:rsid w:val="00814EFF"/>
    <w:rsid w:val="008164ED"/>
    <w:rsid w:val="00816982"/>
    <w:rsid w:val="0082089C"/>
    <w:rsid w:val="00820B76"/>
    <w:rsid w:val="00823460"/>
    <w:rsid w:val="008239D5"/>
    <w:rsid w:val="00823C94"/>
    <w:rsid w:val="008256F4"/>
    <w:rsid w:val="00827E51"/>
    <w:rsid w:val="008318D5"/>
    <w:rsid w:val="00833409"/>
    <w:rsid w:val="00836633"/>
    <w:rsid w:val="00843F04"/>
    <w:rsid w:val="00844AD8"/>
    <w:rsid w:val="00846156"/>
    <w:rsid w:val="00846473"/>
    <w:rsid w:val="008532EC"/>
    <w:rsid w:val="00855BF3"/>
    <w:rsid w:val="008566E2"/>
    <w:rsid w:val="008606A6"/>
    <w:rsid w:val="008611B7"/>
    <w:rsid w:val="008611F6"/>
    <w:rsid w:val="0086168E"/>
    <w:rsid w:val="00862BBF"/>
    <w:rsid w:val="00863606"/>
    <w:rsid w:val="00863918"/>
    <w:rsid w:val="008709C4"/>
    <w:rsid w:val="00871EF5"/>
    <w:rsid w:val="00872DF0"/>
    <w:rsid w:val="00875723"/>
    <w:rsid w:val="00876C60"/>
    <w:rsid w:val="00882A02"/>
    <w:rsid w:val="0088548F"/>
    <w:rsid w:val="00885D1A"/>
    <w:rsid w:val="00894C36"/>
    <w:rsid w:val="00894FAE"/>
    <w:rsid w:val="00895EF8"/>
    <w:rsid w:val="008A2150"/>
    <w:rsid w:val="008A222D"/>
    <w:rsid w:val="008A2C94"/>
    <w:rsid w:val="008A3039"/>
    <w:rsid w:val="008A3D7E"/>
    <w:rsid w:val="008A40A1"/>
    <w:rsid w:val="008A5FCC"/>
    <w:rsid w:val="008A7CD6"/>
    <w:rsid w:val="008B06AA"/>
    <w:rsid w:val="008B2701"/>
    <w:rsid w:val="008B4352"/>
    <w:rsid w:val="008B55F5"/>
    <w:rsid w:val="008B7F2C"/>
    <w:rsid w:val="008C2805"/>
    <w:rsid w:val="008D0967"/>
    <w:rsid w:val="008D5850"/>
    <w:rsid w:val="008D5E7E"/>
    <w:rsid w:val="008D6C5A"/>
    <w:rsid w:val="008D6FAD"/>
    <w:rsid w:val="008E131A"/>
    <w:rsid w:val="008E1BCF"/>
    <w:rsid w:val="008F1050"/>
    <w:rsid w:val="008F4E20"/>
    <w:rsid w:val="008F64A9"/>
    <w:rsid w:val="00901993"/>
    <w:rsid w:val="00901D8A"/>
    <w:rsid w:val="009034AA"/>
    <w:rsid w:val="00903ACF"/>
    <w:rsid w:val="0090721E"/>
    <w:rsid w:val="00907F67"/>
    <w:rsid w:val="00910AE8"/>
    <w:rsid w:val="0091185C"/>
    <w:rsid w:val="00913273"/>
    <w:rsid w:val="00914A4D"/>
    <w:rsid w:val="00917E93"/>
    <w:rsid w:val="009270F8"/>
    <w:rsid w:val="00930D1D"/>
    <w:rsid w:val="00932C91"/>
    <w:rsid w:val="00934AE9"/>
    <w:rsid w:val="009427C1"/>
    <w:rsid w:val="00942820"/>
    <w:rsid w:val="00943DEB"/>
    <w:rsid w:val="00944B43"/>
    <w:rsid w:val="009506E3"/>
    <w:rsid w:val="009532CA"/>
    <w:rsid w:val="00955379"/>
    <w:rsid w:val="0095798A"/>
    <w:rsid w:val="00960CB9"/>
    <w:rsid w:val="0096271F"/>
    <w:rsid w:val="00970401"/>
    <w:rsid w:val="00973CFC"/>
    <w:rsid w:val="00974B96"/>
    <w:rsid w:val="00980BAA"/>
    <w:rsid w:val="00982108"/>
    <w:rsid w:val="009903F7"/>
    <w:rsid w:val="00990F08"/>
    <w:rsid w:val="0099156C"/>
    <w:rsid w:val="00992F6F"/>
    <w:rsid w:val="0099575D"/>
    <w:rsid w:val="00995976"/>
    <w:rsid w:val="009A1E92"/>
    <w:rsid w:val="009A2CBB"/>
    <w:rsid w:val="009A3670"/>
    <w:rsid w:val="009A395C"/>
    <w:rsid w:val="009A4F53"/>
    <w:rsid w:val="009A757D"/>
    <w:rsid w:val="009B1264"/>
    <w:rsid w:val="009B130E"/>
    <w:rsid w:val="009B290D"/>
    <w:rsid w:val="009B3AA5"/>
    <w:rsid w:val="009B459F"/>
    <w:rsid w:val="009B580E"/>
    <w:rsid w:val="009B5BE7"/>
    <w:rsid w:val="009C136A"/>
    <w:rsid w:val="009C18EA"/>
    <w:rsid w:val="009C2664"/>
    <w:rsid w:val="009C38C1"/>
    <w:rsid w:val="009C7B09"/>
    <w:rsid w:val="009D4EB7"/>
    <w:rsid w:val="009D6C22"/>
    <w:rsid w:val="009E1159"/>
    <w:rsid w:val="009E23A9"/>
    <w:rsid w:val="009E3BE5"/>
    <w:rsid w:val="009E4337"/>
    <w:rsid w:val="009E4A4E"/>
    <w:rsid w:val="009E5F7E"/>
    <w:rsid w:val="009E6384"/>
    <w:rsid w:val="009E753D"/>
    <w:rsid w:val="009E7C12"/>
    <w:rsid w:val="009F0DA0"/>
    <w:rsid w:val="009F147D"/>
    <w:rsid w:val="009F198F"/>
    <w:rsid w:val="009F6188"/>
    <w:rsid w:val="009F68AA"/>
    <w:rsid w:val="009F7AA8"/>
    <w:rsid w:val="00A043C1"/>
    <w:rsid w:val="00A06AC6"/>
    <w:rsid w:val="00A103D2"/>
    <w:rsid w:val="00A10CA6"/>
    <w:rsid w:val="00A113AE"/>
    <w:rsid w:val="00A120EE"/>
    <w:rsid w:val="00A13015"/>
    <w:rsid w:val="00A14780"/>
    <w:rsid w:val="00A16F29"/>
    <w:rsid w:val="00A17698"/>
    <w:rsid w:val="00A24439"/>
    <w:rsid w:val="00A252BE"/>
    <w:rsid w:val="00A30968"/>
    <w:rsid w:val="00A327BA"/>
    <w:rsid w:val="00A32A73"/>
    <w:rsid w:val="00A35901"/>
    <w:rsid w:val="00A41315"/>
    <w:rsid w:val="00A42107"/>
    <w:rsid w:val="00A476A7"/>
    <w:rsid w:val="00A47A22"/>
    <w:rsid w:val="00A50EEA"/>
    <w:rsid w:val="00A533E0"/>
    <w:rsid w:val="00A53679"/>
    <w:rsid w:val="00A536EB"/>
    <w:rsid w:val="00A5571E"/>
    <w:rsid w:val="00A60AF4"/>
    <w:rsid w:val="00A644FD"/>
    <w:rsid w:val="00A64878"/>
    <w:rsid w:val="00A651CA"/>
    <w:rsid w:val="00A70F11"/>
    <w:rsid w:val="00A71513"/>
    <w:rsid w:val="00A742AD"/>
    <w:rsid w:val="00A7772B"/>
    <w:rsid w:val="00A875DB"/>
    <w:rsid w:val="00A87C5B"/>
    <w:rsid w:val="00A94F80"/>
    <w:rsid w:val="00A9552B"/>
    <w:rsid w:val="00AA22A4"/>
    <w:rsid w:val="00AA47F9"/>
    <w:rsid w:val="00AA7A00"/>
    <w:rsid w:val="00AB185B"/>
    <w:rsid w:val="00AB3F26"/>
    <w:rsid w:val="00AB4BE1"/>
    <w:rsid w:val="00AB7A80"/>
    <w:rsid w:val="00AC34F9"/>
    <w:rsid w:val="00AC3565"/>
    <w:rsid w:val="00AC79B9"/>
    <w:rsid w:val="00AD03E5"/>
    <w:rsid w:val="00AD053E"/>
    <w:rsid w:val="00AD0D14"/>
    <w:rsid w:val="00AD26FF"/>
    <w:rsid w:val="00AD30B3"/>
    <w:rsid w:val="00AD48EE"/>
    <w:rsid w:val="00AD4F92"/>
    <w:rsid w:val="00AE05A0"/>
    <w:rsid w:val="00AE0951"/>
    <w:rsid w:val="00AE4AF7"/>
    <w:rsid w:val="00AF29E7"/>
    <w:rsid w:val="00AF41C4"/>
    <w:rsid w:val="00AF4B2A"/>
    <w:rsid w:val="00AF50B7"/>
    <w:rsid w:val="00B001EA"/>
    <w:rsid w:val="00B007D8"/>
    <w:rsid w:val="00B00874"/>
    <w:rsid w:val="00B01FC8"/>
    <w:rsid w:val="00B04008"/>
    <w:rsid w:val="00B0467A"/>
    <w:rsid w:val="00B06147"/>
    <w:rsid w:val="00B06241"/>
    <w:rsid w:val="00B1012C"/>
    <w:rsid w:val="00B1142F"/>
    <w:rsid w:val="00B12201"/>
    <w:rsid w:val="00B133CB"/>
    <w:rsid w:val="00B13B15"/>
    <w:rsid w:val="00B22875"/>
    <w:rsid w:val="00B27A74"/>
    <w:rsid w:val="00B32695"/>
    <w:rsid w:val="00B345A5"/>
    <w:rsid w:val="00B34B3D"/>
    <w:rsid w:val="00B37401"/>
    <w:rsid w:val="00B37A5E"/>
    <w:rsid w:val="00B40A81"/>
    <w:rsid w:val="00B44C39"/>
    <w:rsid w:val="00B46A3A"/>
    <w:rsid w:val="00B5281C"/>
    <w:rsid w:val="00B5511A"/>
    <w:rsid w:val="00B60CE8"/>
    <w:rsid w:val="00B61B0D"/>
    <w:rsid w:val="00B66578"/>
    <w:rsid w:val="00B672B9"/>
    <w:rsid w:val="00B7048A"/>
    <w:rsid w:val="00B70B5C"/>
    <w:rsid w:val="00B745A3"/>
    <w:rsid w:val="00B77B64"/>
    <w:rsid w:val="00B83444"/>
    <w:rsid w:val="00B84DF4"/>
    <w:rsid w:val="00B85C8A"/>
    <w:rsid w:val="00B909D4"/>
    <w:rsid w:val="00B90E8E"/>
    <w:rsid w:val="00B9578A"/>
    <w:rsid w:val="00B964F0"/>
    <w:rsid w:val="00B967F0"/>
    <w:rsid w:val="00B96F01"/>
    <w:rsid w:val="00BA5288"/>
    <w:rsid w:val="00BA5CB2"/>
    <w:rsid w:val="00BB5886"/>
    <w:rsid w:val="00BC0358"/>
    <w:rsid w:val="00BC22CF"/>
    <w:rsid w:val="00BC472C"/>
    <w:rsid w:val="00BC58D8"/>
    <w:rsid w:val="00BC615E"/>
    <w:rsid w:val="00BC6C60"/>
    <w:rsid w:val="00BD1B9C"/>
    <w:rsid w:val="00BD3430"/>
    <w:rsid w:val="00BD4820"/>
    <w:rsid w:val="00BD76C1"/>
    <w:rsid w:val="00BE18A2"/>
    <w:rsid w:val="00BE292B"/>
    <w:rsid w:val="00BE358A"/>
    <w:rsid w:val="00BE64A4"/>
    <w:rsid w:val="00BF12BF"/>
    <w:rsid w:val="00BF46F8"/>
    <w:rsid w:val="00BF5001"/>
    <w:rsid w:val="00BF624B"/>
    <w:rsid w:val="00BF62D5"/>
    <w:rsid w:val="00C05DC0"/>
    <w:rsid w:val="00C11279"/>
    <w:rsid w:val="00C11857"/>
    <w:rsid w:val="00C11CCB"/>
    <w:rsid w:val="00C17E27"/>
    <w:rsid w:val="00C2013C"/>
    <w:rsid w:val="00C211AF"/>
    <w:rsid w:val="00C253B7"/>
    <w:rsid w:val="00C30410"/>
    <w:rsid w:val="00C314F1"/>
    <w:rsid w:val="00C31634"/>
    <w:rsid w:val="00C329A1"/>
    <w:rsid w:val="00C32A16"/>
    <w:rsid w:val="00C34FCC"/>
    <w:rsid w:val="00C350B6"/>
    <w:rsid w:val="00C3716D"/>
    <w:rsid w:val="00C42AA8"/>
    <w:rsid w:val="00C4707B"/>
    <w:rsid w:val="00C53C0F"/>
    <w:rsid w:val="00C57383"/>
    <w:rsid w:val="00C62378"/>
    <w:rsid w:val="00C62E81"/>
    <w:rsid w:val="00C645BC"/>
    <w:rsid w:val="00C657D8"/>
    <w:rsid w:val="00C66899"/>
    <w:rsid w:val="00C70004"/>
    <w:rsid w:val="00C7067F"/>
    <w:rsid w:val="00C728BB"/>
    <w:rsid w:val="00C74EDB"/>
    <w:rsid w:val="00C7521B"/>
    <w:rsid w:val="00C77E96"/>
    <w:rsid w:val="00C813E5"/>
    <w:rsid w:val="00C820B9"/>
    <w:rsid w:val="00C83389"/>
    <w:rsid w:val="00C836F9"/>
    <w:rsid w:val="00C83A2F"/>
    <w:rsid w:val="00C840A9"/>
    <w:rsid w:val="00C84A19"/>
    <w:rsid w:val="00C87A06"/>
    <w:rsid w:val="00C91725"/>
    <w:rsid w:val="00C91CAD"/>
    <w:rsid w:val="00C934AC"/>
    <w:rsid w:val="00C97396"/>
    <w:rsid w:val="00CA0957"/>
    <w:rsid w:val="00CA3C64"/>
    <w:rsid w:val="00CA4F63"/>
    <w:rsid w:val="00CA6A14"/>
    <w:rsid w:val="00CA7226"/>
    <w:rsid w:val="00CA7F11"/>
    <w:rsid w:val="00CB2628"/>
    <w:rsid w:val="00CB481B"/>
    <w:rsid w:val="00CC0DEE"/>
    <w:rsid w:val="00CC5200"/>
    <w:rsid w:val="00CC5ADA"/>
    <w:rsid w:val="00CD41A1"/>
    <w:rsid w:val="00CE2BA0"/>
    <w:rsid w:val="00CF155B"/>
    <w:rsid w:val="00CF3E3A"/>
    <w:rsid w:val="00CF57B4"/>
    <w:rsid w:val="00CF72CB"/>
    <w:rsid w:val="00CF7A2B"/>
    <w:rsid w:val="00D056EB"/>
    <w:rsid w:val="00D06A3C"/>
    <w:rsid w:val="00D07C31"/>
    <w:rsid w:val="00D1094D"/>
    <w:rsid w:val="00D10A7E"/>
    <w:rsid w:val="00D123A0"/>
    <w:rsid w:val="00D12FF1"/>
    <w:rsid w:val="00D14682"/>
    <w:rsid w:val="00D21274"/>
    <w:rsid w:val="00D231ED"/>
    <w:rsid w:val="00D24093"/>
    <w:rsid w:val="00D25468"/>
    <w:rsid w:val="00D26542"/>
    <w:rsid w:val="00D30776"/>
    <w:rsid w:val="00D30CFE"/>
    <w:rsid w:val="00D369B4"/>
    <w:rsid w:val="00D409EA"/>
    <w:rsid w:val="00D40EDD"/>
    <w:rsid w:val="00D41ADB"/>
    <w:rsid w:val="00D42810"/>
    <w:rsid w:val="00D44E5F"/>
    <w:rsid w:val="00D5168D"/>
    <w:rsid w:val="00D55232"/>
    <w:rsid w:val="00D60FB7"/>
    <w:rsid w:val="00D6131C"/>
    <w:rsid w:val="00D61A16"/>
    <w:rsid w:val="00D6469E"/>
    <w:rsid w:val="00D65409"/>
    <w:rsid w:val="00D66739"/>
    <w:rsid w:val="00D67B04"/>
    <w:rsid w:val="00D67FDB"/>
    <w:rsid w:val="00D706E5"/>
    <w:rsid w:val="00D768F7"/>
    <w:rsid w:val="00D80C45"/>
    <w:rsid w:val="00D80EC1"/>
    <w:rsid w:val="00D810AF"/>
    <w:rsid w:val="00D86DE6"/>
    <w:rsid w:val="00D941FF"/>
    <w:rsid w:val="00D95892"/>
    <w:rsid w:val="00D96EFC"/>
    <w:rsid w:val="00D97968"/>
    <w:rsid w:val="00DA3136"/>
    <w:rsid w:val="00DA6541"/>
    <w:rsid w:val="00DB271F"/>
    <w:rsid w:val="00DC0C90"/>
    <w:rsid w:val="00DC1D6B"/>
    <w:rsid w:val="00DC5291"/>
    <w:rsid w:val="00DC6E96"/>
    <w:rsid w:val="00DC76C9"/>
    <w:rsid w:val="00DD02AF"/>
    <w:rsid w:val="00DD38DF"/>
    <w:rsid w:val="00DD75C7"/>
    <w:rsid w:val="00DE13DC"/>
    <w:rsid w:val="00DE3F01"/>
    <w:rsid w:val="00DF4747"/>
    <w:rsid w:val="00DF4FA8"/>
    <w:rsid w:val="00E040B8"/>
    <w:rsid w:val="00E05D11"/>
    <w:rsid w:val="00E0779A"/>
    <w:rsid w:val="00E1377E"/>
    <w:rsid w:val="00E15078"/>
    <w:rsid w:val="00E15D80"/>
    <w:rsid w:val="00E20477"/>
    <w:rsid w:val="00E20B20"/>
    <w:rsid w:val="00E22123"/>
    <w:rsid w:val="00E23C0D"/>
    <w:rsid w:val="00E27EEE"/>
    <w:rsid w:val="00E308AB"/>
    <w:rsid w:val="00E31DEE"/>
    <w:rsid w:val="00E37133"/>
    <w:rsid w:val="00E40000"/>
    <w:rsid w:val="00E40522"/>
    <w:rsid w:val="00E446DF"/>
    <w:rsid w:val="00E53D89"/>
    <w:rsid w:val="00E55771"/>
    <w:rsid w:val="00E6143C"/>
    <w:rsid w:val="00E620D9"/>
    <w:rsid w:val="00E63366"/>
    <w:rsid w:val="00E638DC"/>
    <w:rsid w:val="00E65D19"/>
    <w:rsid w:val="00E67CAD"/>
    <w:rsid w:val="00E743BA"/>
    <w:rsid w:val="00E748E5"/>
    <w:rsid w:val="00E77AE2"/>
    <w:rsid w:val="00E806C0"/>
    <w:rsid w:val="00E812DF"/>
    <w:rsid w:val="00E82DD7"/>
    <w:rsid w:val="00E8406D"/>
    <w:rsid w:val="00E8624F"/>
    <w:rsid w:val="00E9371A"/>
    <w:rsid w:val="00E955EA"/>
    <w:rsid w:val="00E958F8"/>
    <w:rsid w:val="00E95B7D"/>
    <w:rsid w:val="00E96391"/>
    <w:rsid w:val="00E974DA"/>
    <w:rsid w:val="00EA4FDB"/>
    <w:rsid w:val="00EA73FD"/>
    <w:rsid w:val="00EB11C5"/>
    <w:rsid w:val="00EB1B05"/>
    <w:rsid w:val="00EB5B16"/>
    <w:rsid w:val="00EC00E4"/>
    <w:rsid w:val="00EC2227"/>
    <w:rsid w:val="00EC3A5D"/>
    <w:rsid w:val="00EC3DDD"/>
    <w:rsid w:val="00ED253B"/>
    <w:rsid w:val="00ED58B3"/>
    <w:rsid w:val="00EE27B1"/>
    <w:rsid w:val="00EE3FD0"/>
    <w:rsid w:val="00EE7085"/>
    <w:rsid w:val="00EF0BCC"/>
    <w:rsid w:val="00EF17BB"/>
    <w:rsid w:val="00EF2702"/>
    <w:rsid w:val="00EF3694"/>
    <w:rsid w:val="00EF41D7"/>
    <w:rsid w:val="00EF5B37"/>
    <w:rsid w:val="00EF65B2"/>
    <w:rsid w:val="00EF7384"/>
    <w:rsid w:val="00F01723"/>
    <w:rsid w:val="00F027AA"/>
    <w:rsid w:val="00F04215"/>
    <w:rsid w:val="00F055CB"/>
    <w:rsid w:val="00F067CE"/>
    <w:rsid w:val="00F074A5"/>
    <w:rsid w:val="00F165DB"/>
    <w:rsid w:val="00F24525"/>
    <w:rsid w:val="00F25F7F"/>
    <w:rsid w:val="00F25FDA"/>
    <w:rsid w:val="00F265F9"/>
    <w:rsid w:val="00F345D8"/>
    <w:rsid w:val="00F350E6"/>
    <w:rsid w:val="00F35BBE"/>
    <w:rsid w:val="00F3621E"/>
    <w:rsid w:val="00F36327"/>
    <w:rsid w:val="00F401BC"/>
    <w:rsid w:val="00F41876"/>
    <w:rsid w:val="00F42AF4"/>
    <w:rsid w:val="00F43DCA"/>
    <w:rsid w:val="00F45F72"/>
    <w:rsid w:val="00F47F51"/>
    <w:rsid w:val="00F50488"/>
    <w:rsid w:val="00F5467A"/>
    <w:rsid w:val="00F54E06"/>
    <w:rsid w:val="00F55A57"/>
    <w:rsid w:val="00F57396"/>
    <w:rsid w:val="00F62D76"/>
    <w:rsid w:val="00F67D0E"/>
    <w:rsid w:val="00F72960"/>
    <w:rsid w:val="00F739F1"/>
    <w:rsid w:val="00F765B5"/>
    <w:rsid w:val="00F7702A"/>
    <w:rsid w:val="00F82F81"/>
    <w:rsid w:val="00F870D6"/>
    <w:rsid w:val="00F91F24"/>
    <w:rsid w:val="00F931A1"/>
    <w:rsid w:val="00F94D4D"/>
    <w:rsid w:val="00F9699F"/>
    <w:rsid w:val="00FA0F1F"/>
    <w:rsid w:val="00FA4CA3"/>
    <w:rsid w:val="00FA4EBA"/>
    <w:rsid w:val="00FB316D"/>
    <w:rsid w:val="00FB3C74"/>
    <w:rsid w:val="00FB65E7"/>
    <w:rsid w:val="00FB718D"/>
    <w:rsid w:val="00FB7D9C"/>
    <w:rsid w:val="00FC02B2"/>
    <w:rsid w:val="00FC5027"/>
    <w:rsid w:val="00FC57CC"/>
    <w:rsid w:val="00FC6F3E"/>
    <w:rsid w:val="00FD1D81"/>
    <w:rsid w:val="00FD6729"/>
    <w:rsid w:val="00FE00CD"/>
    <w:rsid w:val="00FE2A72"/>
    <w:rsid w:val="00FE7BFB"/>
    <w:rsid w:val="00FF1686"/>
    <w:rsid w:val="00FF2283"/>
    <w:rsid w:val="00FF256C"/>
    <w:rsid w:val="00FF535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21"/>
  </w:style>
  <w:style w:type="paragraph" w:styleId="Heading1">
    <w:name w:val="heading 1"/>
    <w:basedOn w:val="Normal"/>
    <w:next w:val="Normal"/>
    <w:link w:val="Heading1Char"/>
    <w:uiPriority w:val="9"/>
    <w:qFormat/>
    <w:rsid w:val="001C7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6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8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5288"/>
    <w:pPr>
      <w:spacing w:before="240" w:line="240" w:lineRule="auto"/>
      <w:jc w:val="center"/>
    </w:pPr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B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B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42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78"/>
  </w:style>
  <w:style w:type="paragraph" w:styleId="Footer">
    <w:name w:val="footer"/>
    <w:basedOn w:val="Normal"/>
    <w:link w:val="FooterChar"/>
    <w:uiPriority w:val="99"/>
    <w:unhideWhenUsed/>
    <w:rsid w:val="0036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78"/>
  </w:style>
  <w:style w:type="character" w:styleId="CommentReference">
    <w:name w:val="annotation reference"/>
    <w:basedOn w:val="DefaultParagraphFont"/>
    <w:uiPriority w:val="99"/>
    <w:semiHidden/>
    <w:unhideWhenUsed/>
    <w:rsid w:val="00B95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78A"/>
    <w:rPr>
      <w:b/>
      <w:bCs/>
    </w:rPr>
  </w:style>
  <w:style w:type="paragraph" w:styleId="Revision">
    <w:name w:val="Revision"/>
    <w:hidden/>
    <w:uiPriority w:val="99"/>
    <w:semiHidden/>
    <w:rsid w:val="00B95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graduatecareers.com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@graduatecareers.com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gcastore\company\Research\Graduate%20Outlook%20Survey\2011%20Graduate%20Outlook%20Survey\Report\Industry%20Reports\2011%20GOS%20Industry%20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style val="19"/>
  <c:chart>
    <c:autoTitleDeleted val="1"/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'AF Fig 1 '!$F$4:$F$6</c:f>
              <c:strCache>
                <c:ptCount val="3"/>
                <c:pt idx="0">
                  <c:v>No graduates recruited</c:v>
                </c:pt>
                <c:pt idx="1">
                  <c:v>1 - 20 graduates recruited</c:v>
                </c:pt>
                <c:pt idx="2">
                  <c:v>More than 20 graduates recruited</c:v>
                </c:pt>
              </c:strCache>
            </c:strRef>
          </c:cat>
          <c:val>
            <c:numRef>
              <c:f>'AF Fig 1 '!$G$4:$G$6</c:f>
              <c:numCache>
                <c:formatCode>0.0%</c:formatCode>
                <c:ptCount val="3"/>
                <c:pt idx="0">
                  <c:v>9.5890410958904174E-2</c:v>
                </c:pt>
                <c:pt idx="1">
                  <c:v>0.64383561643835863</c:v>
                </c:pt>
                <c:pt idx="2">
                  <c:v>0.26027397260273971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style val="1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'AF Fig 4'!$G$4</c:f>
              <c:strCache>
                <c:ptCount val="1"/>
                <c:pt idx="0">
                  <c:v>Yes</c:v>
                </c:pt>
              </c:strCache>
            </c:strRef>
          </c:tx>
          <c:cat>
            <c:numRef>
              <c:f>'AF Fig 4'!$H$3:$L$3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'AF Fig 4'!$H$4:$L$4</c:f>
              <c:numCache>
                <c:formatCode>0.0%</c:formatCode>
                <c:ptCount val="5"/>
                <c:pt idx="0">
                  <c:v>0.54300000000000004</c:v>
                </c:pt>
                <c:pt idx="1">
                  <c:v>0.37800000000000045</c:v>
                </c:pt>
                <c:pt idx="2">
                  <c:v>0.28300000000000008</c:v>
                </c:pt>
                <c:pt idx="3">
                  <c:v>0.41200000000000031</c:v>
                </c:pt>
                <c:pt idx="4">
                  <c:v>0.4</c:v>
                </c:pt>
              </c:numCache>
            </c:numRef>
          </c:val>
        </c:ser>
        <c:dLbls>
          <c:showVal val="1"/>
        </c:dLbls>
        <c:axId val="168629376"/>
        <c:axId val="168631296"/>
      </c:barChart>
      <c:catAx>
        <c:axId val="168629376"/>
        <c:scaling>
          <c:orientation val="minMax"/>
        </c:scaling>
        <c:axPos val="b"/>
        <c:numFmt formatCode="General" sourceLinked="1"/>
        <c:tickLblPos val="nextTo"/>
        <c:crossAx val="168631296"/>
        <c:crosses val="autoZero"/>
        <c:auto val="1"/>
        <c:lblAlgn val="ctr"/>
        <c:lblOffset val="100"/>
      </c:catAx>
      <c:valAx>
        <c:axId val="16863129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AU" b="0"/>
                  <a:t>Percentage</a:t>
                </a:r>
                <a:r>
                  <a:rPr lang="en-AU" b="0" baseline="0"/>
                  <a:t> of employees</a:t>
                </a:r>
                <a:endParaRPr lang="en-AU" b="0"/>
              </a:p>
            </c:rich>
          </c:tx>
          <c:layout/>
        </c:title>
        <c:numFmt formatCode="0%" sourceLinked="0"/>
        <c:tickLblPos val="nextTo"/>
        <c:crossAx val="16862937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style val="19"/>
  <c:chart>
    <c:plotArea>
      <c:layout/>
      <c:barChart>
        <c:barDir val="bar"/>
        <c:grouping val="clustered"/>
        <c:ser>
          <c:idx val="0"/>
          <c:order val="0"/>
          <c:tx>
            <c:strRef>
              <c:f>'AF Fig 11'!$N$3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'AF Fig 11'!$M$4:$M$11</c:f>
              <c:strCache>
                <c:ptCount val="8"/>
                <c:pt idx="0">
                  <c:v> Newspaper advertising</c:v>
                </c:pt>
                <c:pt idx="1">
                  <c:v> Other</c:v>
                </c:pt>
                <c:pt idx="2">
                  <c:v> Social media websites (e.g. Facebook, Twitter, YouTube, Linkedin)</c:v>
                </c:pt>
                <c:pt idx="3">
                  <c:v> Employment websites (e.g. SEEK, CareerOne)</c:v>
                </c:pt>
                <c:pt idx="4">
                  <c:v> Graduate recruitment handbooks</c:v>
                </c:pt>
                <c:pt idx="5">
                  <c:v> University careers fairs</c:v>
                </c:pt>
                <c:pt idx="6">
                  <c:v> University careers services</c:v>
                </c:pt>
                <c:pt idx="7">
                  <c:v> Your organisations website</c:v>
                </c:pt>
              </c:strCache>
            </c:strRef>
          </c:cat>
          <c:val>
            <c:numRef>
              <c:f>'AF Fig 11'!$N$4:$N$11</c:f>
              <c:numCache>
                <c:formatCode>0.0%</c:formatCode>
                <c:ptCount val="8"/>
                <c:pt idx="0">
                  <c:v>8.0000000000000043E-2</c:v>
                </c:pt>
                <c:pt idx="1">
                  <c:v>0.18000000000000022</c:v>
                </c:pt>
                <c:pt idx="2">
                  <c:v>0.3800000000000005</c:v>
                </c:pt>
                <c:pt idx="3">
                  <c:v>0.52</c:v>
                </c:pt>
                <c:pt idx="4">
                  <c:v>0.54</c:v>
                </c:pt>
                <c:pt idx="5">
                  <c:v>0.60000000000000064</c:v>
                </c:pt>
                <c:pt idx="6">
                  <c:v>0.70000000000000062</c:v>
                </c:pt>
                <c:pt idx="7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'AF Fig 11'!$O$3</c:f>
              <c:strCache>
                <c:ptCount val="1"/>
              </c:strCache>
            </c:strRef>
          </c:tx>
          <c:cat>
            <c:strRef>
              <c:f>'AF Fig 11'!$M$4:$M$11</c:f>
              <c:strCache>
                <c:ptCount val="8"/>
                <c:pt idx="0">
                  <c:v> Newspaper advertising</c:v>
                </c:pt>
                <c:pt idx="1">
                  <c:v> Other</c:v>
                </c:pt>
                <c:pt idx="2">
                  <c:v> Social media websites (e.g. Facebook, Twitter, YouTube, Linkedin)</c:v>
                </c:pt>
                <c:pt idx="3">
                  <c:v> Employment websites (e.g. SEEK, CareerOne)</c:v>
                </c:pt>
                <c:pt idx="4">
                  <c:v> Graduate recruitment handbooks</c:v>
                </c:pt>
                <c:pt idx="5">
                  <c:v> University careers fairs</c:v>
                </c:pt>
                <c:pt idx="6">
                  <c:v> University careers services</c:v>
                </c:pt>
                <c:pt idx="7">
                  <c:v> Your organisations website</c:v>
                </c:pt>
              </c:strCache>
            </c:strRef>
          </c:cat>
          <c:val>
            <c:numRef>
              <c:f>'AF Fig 11'!$O$4:$O$11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gapWidth val="70"/>
        <c:axId val="168968192"/>
        <c:axId val="168969728"/>
      </c:barChart>
      <c:catAx>
        <c:axId val="168968192"/>
        <c:scaling>
          <c:orientation val="minMax"/>
        </c:scaling>
        <c:axPos val="l"/>
        <c:tickLblPos val="nextTo"/>
        <c:crossAx val="168969728"/>
        <c:crosses val="autoZero"/>
        <c:auto val="1"/>
        <c:lblAlgn val="ctr"/>
        <c:lblOffset val="100"/>
      </c:catAx>
      <c:valAx>
        <c:axId val="168969728"/>
        <c:scaling>
          <c:orientation val="minMax"/>
          <c:max val="1"/>
          <c:min val="0"/>
        </c:scaling>
        <c:axPos val="b"/>
        <c:numFmt formatCode="0%" sourceLinked="0"/>
        <c:tickLblPos val="nextTo"/>
        <c:crossAx val="168968192"/>
        <c:crosses val="autoZero"/>
        <c:crossBetween val="between"/>
        <c:majorUnit val="0.2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AU"/>
  <c:style val="18"/>
  <c:chart>
    <c:plotArea>
      <c:layout/>
      <c:barChart>
        <c:barDir val="bar"/>
        <c:grouping val="clustered"/>
        <c:ser>
          <c:idx val="0"/>
          <c:order val="0"/>
          <c:cat>
            <c:strRef>
              <c:f>'AF Fig 17'!$J$4:$J$12</c:f>
              <c:strCache>
                <c:ptCount val="9"/>
                <c:pt idx="0">
                  <c:v>Seeking experience in a different sector</c:v>
                </c:pt>
                <c:pt idx="1">
                  <c:v>Lack of loyalty and commitment</c:v>
                </c:pt>
                <c:pt idx="2">
                  <c:v>Desire to travel</c:v>
                </c:pt>
                <c:pt idx="3">
                  <c:v>Desire for better salary and/or benefits</c:v>
                </c:pt>
                <c:pt idx="4">
                  <c:v>Organisational culture</c:v>
                </c:pt>
                <c:pt idx="5">
                  <c:v>Seeking a greater breadth of work experience</c:v>
                </c:pt>
                <c:pt idx="6">
                  <c:v>Desire for greater professional development</c:v>
                </c:pt>
                <c:pt idx="7">
                  <c:v>Seeking greater opportunities for advancement</c:v>
                </c:pt>
                <c:pt idx="8">
                  <c:v>Relationship with direct manager/supervisor</c:v>
                </c:pt>
              </c:strCache>
            </c:strRef>
          </c:cat>
          <c:val>
            <c:numRef>
              <c:f>'AF Fig 17'!$K$4:$K$12</c:f>
              <c:numCache>
                <c:formatCode>0.0%</c:formatCode>
                <c:ptCount val="9"/>
                <c:pt idx="0">
                  <c:v>0.442</c:v>
                </c:pt>
                <c:pt idx="1">
                  <c:v>0.45200000000000001</c:v>
                </c:pt>
                <c:pt idx="2">
                  <c:v>0.48800000000000032</c:v>
                </c:pt>
                <c:pt idx="3">
                  <c:v>0.76700000000000101</c:v>
                </c:pt>
                <c:pt idx="4">
                  <c:v>0.79100000000000004</c:v>
                </c:pt>
                <c:pt idx="5">
                  <c:v>0.81399999999999995</c:v>
                </c:pt>
                <c:pt idx="6">
                  <c:v>0.83700000000000063</c:v>
                </c:pt>
                <c:pt idx="7">
                  <c:v>0.88400000000000001</c:v>
                </c:pt>
                <c:pt idx="8">
                  <c:v>0.93</c:v>
                </c:pt>
              </c:numCache>
            </c:numRef>
          </c:val>
        </c:ser>
        <c:dLbls>
          <c:showVal val="1"/>
        </c:dLbls>
        <c:gapWidth val="90"/>
        <c:axId val="169005824"/>
        <c:axId val="169007360"/>
      </c:barChart>
      <c:catAx>
        <c:axId val="169005824"/>
        <c:scaling>
          <c:orientation val="minMax"/>
        </c:scaling>
        <c:axPos val="l"/>
        <c:tickLblPos val="nextTo"/>
        <c:crossAx val="169007360"/>
        <c:crosses val="autoZero"/>
        <c:auto val="1"/>
        <c:lblAlgn val="ctr"/>
        <c:lblOffset val="100"/>
      </c:catAx>
      <c:valAx>
        <c:axId val="169007360"/>
        <c:scaling>
          <c:orientation val="minMax"/>
        </c:scaling>
        <c:axPos val="b"/>
        <c:numFmt formatCode="0%" sourceLinked="0"/>
        <c:tickLblPos val="nextTo"/>
        <c:crossAx val="169005824"/>
        <c:crosses val="autoZero"/>
        <c:crossBetween val="between"/>
        <c:majorUnit val="0.2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CCC1D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262C-78FE-4ECC-B6BF-28EDB1CE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42</cp:revision>
  <cp:lastPrinted>2012-02-16T23:24:00Z</cp:lastPrinted>
  <dcterms:created xsi:type="dcterms:W3CDTF">2012-02-13T01:23:00Z</dcterms:created>
  <dcterms:modified xsi:type="dcterms:W3CDTF">2012-02-17T01:41:00Z</dcterms:modified>
</cp:coreProperties>
</file>