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76" w:rsidRPr="00CA1741" w:rsidRDefault="00C20D76" w:rsidP="00C20D76">
      <w:pPr>
        <w:ind w:left="0"/>
        <w:jc w:val="center"/>
        <w:rPr>
          <w:rFonts w:cs="Arial"/>
          <w:noProof/>
          <w:sz w:val="24"/>
          <w:szCs w:val="24"/>
        </w:rPr>
      </w:pPr>
      <w:bookmarkStart w:id="0" w:name="xgraphic"/>
      <w:r>
        <w:rPr>
          <w:rFonts w:cs="Arial"/>
          <w:b/>
          <w:noProof/>
          <w:lang w:val="en-AU" w:eastAsia="en-AU"/>
        </w:rPr>
        <w:drawing>
          <wp:inline distT="0" distB="0" distL="0" distR="0">
            <wp:extent cx="2131060" cy="826770"/>
            <wp:effectExtent l="19050" t="0" r="2540" b="0"/>
            <wp:docPr id="1" name="Picture 1" descr="GCA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_black_logo"/>
                    <pic:cNvPicPr>
                      <a:picLocks noChangeAspect="1" noChangeArrowheads="1"/>
                    </pic:cNvPicPr>
                  </pic:nvPicPr>
                  <pic:blipFill>
                    <a:blip r:embed="rId8"/>
                    <a:srcRect/>
                    <a:stretch>
                      <a:fillRect/>
                    </a:stretch>
                  </pic:blipFill>
                  <pic:spPr bwMode="auto">
                    <a:xfrm>
                      <a:off x="0" y="0"/>
                      <a:ext cx="2131060" cy="826770"/>
                    </a:xfrm>
                    <a:prstGeom prst="rect">
                      <a:avLst/>
                    </a:prstGeom>
                    <a:noFill/>
                    <a:ln w="9525">
                      <a:noFill/>
                      <a:miter lim="800000"/>
                      <a:headEnd/>
                      <a:tailEnd/>
                    </a:ln>
                  </pic:spPr>
                </pic:pic>
              </a:graphicData>
            </a:graphic>
          </wp:inline>
        </w:drawing>
      </w:r>
    </w:p>
    <w:p w:rsidR="00C20D76" w:rsidRPr="006B1006" w:rsidRDefault="00C20D76" w:rsidP="00C20D76">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9"/>
        <w:gridCol w:w="3885"/>
      </w:tblGrid>
      <w:tr w:rsidR="00C20D76" w:rsidRPr="00FC096C" w:rsidTr="005644C2">
        <w:tc>
          <w:tcPr>
            <w:tcW w:w="4643" w:type="dxa"/>
          </w:tcPr>
          <w:p w:rsidR="00C20D76" w:rsidRPr="00FC096C" w:rsidRDefault="00C20D76" w:rsidP="00C20D76">
            <w:pPr>
              <w:ind w:left="0"/>
              <w:jc w:val="both"/>
              <w:rPr>
                <w:rFonts w:cs="Arial"/>
                <w:b/>
              </w:rPr>
            </w:pPr>
            <w:r w:rsidRPr="00FC096C">
              <w:rPr>
                <w:rFonts w:cs="Arial"/>
                <w:b/>
              </w:rPr>
              <w:t>SRG Meeting:</w:t>
            </w:r>
          </w:p>
        </w:tc>
        <w:tc>
          <w:tcPr>
            <w:tcW w:w="4644" w:type="dxa"/>
          </w:tcPr>
          <w:p w:rsidR="00C20D76" w:rsidRPr="00FC096C" w:rsidRDefault="00C20D76" w:rsidP="00D11765">
            <w:pPr>
              <w:ind w:left="386"/>
              <w:jc w:val="both"/>
              <w:rPr>
                <w:rFonts w:cs="Arial"/>
              </w:rPr>
            </w:pPr>
            <w:r w:rsidRPr="00FC096C">
              <w:rPr>
                <w:rFonts w:cs="Arial"/>
              </w:rPr>
              <w:t>No 3</w:t>
            </w:r>
            <w:r>
              <w:rPr>
                <w:rFonts w:cs="Arial"/>
              </w:rPr>
              <w:t>7</w:t>
            </w:r>
            <w:r w:rsidR="00821F36">
              <w:rPr>
                <w:rFonts w:cs="Arial"/>
              </w:rPr>
              <w:t xml:space="preserve">  25</w:t>
            </w:r>
            <w:r>
              <w:rPr>
                <w:rFonts w:cs="Arial"/>
              </w:rPr>
              <w:t xml:space="preserve"> March 2009</w:t>
            </w:r>
          </w:p>
        </w:tc>
      </w:tr>
      <w:tr w:rsidR="00C20D76" w:rsidRPr="00FC096C" w:rsidTr="005644C2">
        <w:tc>
          <w:tcPr>
            <w:tcW w:w="4643" w:type="dxa"/>
          </w:tcPr>
          <w:p w:rsidR="00C20D76" w:rsidRPr="00FC096C" w:rsidRDefault="00C20D76" w:rsidP="00C20D76">
            <w:pPr>
              <w:ind w:left="0"/>
              <w:jc w:val="both"/>
              <w:rPr>
                <w:rFonts w:cs="Arial"/>
                <w:b/>
              </w:rPr>
            </w:pPr>
            <w:r w:rsidRPr="00FC096C">
              <w:rPr>
                <w:rFonts w:cs="Arial"/>
                <w:b/>
              </w:rPr>
              <w:t>Agenda Item No.:</w:t>
            </w:r>
          </w:p>
        </w:tc>
        <w:tc>
          <w:tcPr>
            <w:tcW w:w="4644" w:type="dxa"/>
          </w:tcPr>
          <w:p w:rsidR="00C20D76" w:rsidRPr="00FC096C" w:rsidRDefault="00C20D76" w:rsidP="00D11765">
            <w:pPr>
              <w:ind w:left="386"/>
              <w:jc w:val="both"/>
              <w:rPr>
                <w:rFonts w:cs="Arial"/>
              </w:rPr>
            </w:pPr>
          </w:p>
        </w:tc>
      </w:tr>
      <w:tr w:rsidR="00C20D76" w:rsidRPr="00FC096C" w:rsidTr="005644C2">
        <w:tc>
          <w:tcPr>
            <w:tcW w:w="4643" w:type="dxa"/>
          </w:tcPr>
          <w:p w:rsidR="00C20D76" w:rsidRPr="00FC096C" w:rsidRDefault="00C20D76" w:rsidP="00C20D76">
            <w:pPr>
              <w:ind w:left="0"/>
              <w:jc w:val="both"/>
              <w:rPr>
                <w:rFonts w:cs="Arial"/>
                <w:b/>
              </w:rPr>
            </w:pPr>
            <w:r w:rsidRPr="00FC096C">
              <w:rPr>
                <w:rFonts w:cs="Arial"/>
                <w:b/>
              </w:rPr>
              <w:t>Report:</w:t>
            </w:r>
          </w:p>
        </w:tc>
        <w:tc>
          <w:tcPr>
            <w:tcW w:w="4644" w:type="dxa"/>
          </w:tcPr>
          <w:p w:rsidR="00C20D76" w:rsidRPr="00FC096C" w:rsidRDefault="00C20D76" w:rsidP="00D11765">
            <w:pPr>
              <w:ind w:left="386"/>
              <w:jc w:val="both"/>
              <w:rPr>
                <w:rFonts w:cs="Arial"/>
              </w:rPr>
            </w:pPr>
            <w:r>
              <w:rPr>
                <w:rFonts w:cs="Arial"/>
                <w:i/>
              </w:rPr>
              <w:t>Research Team</w:t>
            </w:r>
          </w:p>
        </w:tc>
      </w:tr>
      <w:tr w:rsidR="00C20D76" w:rsidRPr="00FC096C" w:rsidTr="005644C2">
        <w:tc>
          <w:tcPr>
            <w:tcW w:w="4643" w:type="dxa"/>
          </w:tcPr>
          <w:p w:rsidR="00C20D76" w:rsidRPr="00FC096C" w:rsidRDefault="00C20D76" w:rsidP="00C20D76">
            <w:pPr>
              <w:ind w:left="0"/>
              <w:jc w:val="both"/>
              <w:rPr>
                <w:rFonts w:cs="Arial"/>
                <w:b/>
              </w:rPr>
            </w:pPr>
            <w:r w:rsidRPr="00FC096C">
              <w:rPr>
                <w:rFonts w:cs="Arial"/>
                <w:b/>
              </w:rPr>
              <w:t>Prepared by:</w:t>
            </w:r>
          </w:p>
        </w:tc>
        <w:tc>
          <w:tcPr>
            <w:tcW w:w="4644" w:type="dxa"/>
          </w:tcPr>
          <w:p w:rsidR="00C20D76" w:rsidRPr="00FC096C" w:rsidRDefault="00C20D76" w:rsidP="00D11765">
            <w:pPr>
              <w:ind w:left="386"/>
              <w:jc w:val="both"/>
              <w:rPr>
                <w:rFonts w:cs="Arial"/>
              </w:rPr>
            </w:pPr>
            <w:r>
              <w:rPr>
                <w:rFonts w:cs="Arial"/>
              </w:rPr>
              <w:t>Marlien Lourens, Bruce Guthrie</w:t>
            </w:r>
          </w:p>
        </w:tc>
      </w:tr>
      <w:tr w:rsidR="00C20D76" w:rsidRPr="00FC096C" w:rsidTr="005644C2">
        <w:tc>
          <w:tcPr>
            <w:tcW w:w="4643" w:type="dxa"/>
          </w:tcPr>
          <w:p w:rsidR="00C20D76" w:rsidRPr="00FC096C" w:rsidRDefault="00C20D76" w:rsidP="00C20D76">
            <w:pPr>
              <w:ind w:left="0"/>
              <w:jc w:val="both"/>
              <w:rPr>
                <w:rFonts w:cs="Arial"/>
                <w:b/>
              </w:rPr>
            </w:pPr>
            <w:r w:rsidRPr="00FC096C">
              <w:rPr>
                <w:rFonts w:cs="Arial"/>
                <w:b/>
              </w:rPr>
              <w:t>Date:</w:t>
            </w:r>
          </w:p>
        </w:tc>
        <w:tc>
          <w:tcPr>
            <w:tcW w:w="4644" w:type="dxa"/>
          </w:tcPr>
          <w:p w:rsidR="00C20D76" w:rsidRPr="00FC096C" w:rsidRDefault="00C20D76" w:rsidP="00D11765">
            <w:pPr>
              <w:ind w:left="386"/>
              <w:jc w:val="both"/>
              <w:rPr>
                <w:rFonts w:cs="Arial"/>
              </w:rPr>
            </w:pPr>
            <w:r>
              <w:rPr>
                <w:rFonts w:cs="Arial"/>
              </w:rPr>
              <w:t>18 March 2009</w:t>
            </w:r>
          </w:p>
        </w:tc>
      </w:tr>
    </w:tbl>
    <w:p w:rsidR="00C20D76" w:rsidRDefault="00C20D76" w:rsidP="00C20D76">
      <w:pPr>
        <w:pBdr>
          <w:bottom w:val="single" w:sz="12" w:space="1" w:color="auto"/>
        </w:pBdr>
        <w:ind w:left="-142"/>
        <w:jc w:val="both"/>
        <w:rPr>
          <w:rFonts w:cs="Arial"/>
        </w:rPr>
      </w:pPr>
    </w:p>
    <w:p w:rsidR="00C20D76" w:rsidRPr="006B1006" w:rsidRDefault="00C20D76" w:rsidP="00C20D76">
      <w:pPr>
        <w:pBdr>
          <w:bottom w:val="single" w:sz="12" w:space="1" w:color="auto"/>
        </w:pBdr>
        <w:ind w:left="-142"/>
        <w:jc w:val="both"/>
        <w:rPr>
          <w:rFonts w:cs="Arial"/>
        </w:rPr>
      </w:pPr>
    </w:p>
    <w:p w:rsidR="00C20D76" w:rsidRDefault="00C20D76" w:rsidP="00C20D76"/>
    <w:p w:rsidR="00C20D76" w:rsidRDefault="00C20D76" w:rsidP="00C20D76">
      <w:pPr>
        <w:rPr>
          <w:rFonts w:cs="Arial"/>
        </w:rPr>
      </w:pPr>
    </w:p>
    <w:p w:rsidR="007A0494" w:rsidRDefault="00937356" w:rsidP="00C20D76">
      <w:pPr>
        <w:pStyle w:val="Heading1"/>
        <w:jc w:val="both"/>
      </w:pPr>
      <w:r>
        <w:t>AGS Survey Incentives</w:t>
      </w:r>
    </w:p>
    <w:p w:rsidR="00937356" w:rsidRPr="00C20D76" w:rsidRDefault="00937356" w:rsidP="00C20D76">
      <w:pPr>
        <w:pStyle w:val="Title"/>
        <w:jc w:val="both"/>
        <w:rPr>
          <w:i/>
          <w:color w:val="808080"/>
          <w:sz w:val="24"/>
          <w:szCs w:val="24"/>
          <w:lang w:val="en-AU"/>
        </w:rPr>
      </w:pPr>
      <w:r w:rsidRPr="00C20D76">
        <w:rPr>
          <w:i/>
          <w:color w:val="808080"/>
          <w:sz w:val="24"/>
          <w:szCs w:val="24"/>
          <w:lang w:val="en-AU"/>
        </w:rPr>
        <w:t xml:space="preserve">Protocols for institutions regarding the offering of response incentives for the AGS </w:t>
      </w:r>
    </w:p>
    <w:p w:rsidR="00937356" w:rsidRDefault="00937356" w:rsidP="00C20D76">
      <w:pPr>
        <w:jc w:val="both"/>
        <w:rPr>
          <w:lang w:val="en-AU"/>
        </w:rPr>
      </w:pPr>
    </w:p>
    <w:p w:rsidR="00937356" w:rsidRDefault="00937356" w:rsidP="00C20D76">
      <w:pPr>
        <w:jc w:val="both"/>
        <w:rPr>
          <w:lang w:val="en-AU"/>
        </w:rPr>
      </w:pPr>
    </w:p>
    <w:bookmarkEnd w:id="0"/>
    <w:p w:rsidR="00937356" w:rsidRDefault="00937356" w:rsidP="00C20D76">
      <w:pPr>
        <w:pStyle w:val="Heading1"/>
        <w:jc w:val="both"/>
      </w:pPr>
    </w:p>
    <w:p w:rsidR="007A0494" w:rsidRDefault="0024222C" w:rsidP="00C20D76">
      <w:pPr>
        <w:pStyle w:val="Heading1"/>
        <w:jc w:val="both"/>
      </w:pPr>
      <w:r>
        <w:t xml:space="preserve">Background </w:t>
      </w:r>
    </w:p>
    <w:p w:rsidR="00CF4A90" w:rsidRDefault="00B7480A" w:rsidP="00C20D76">
      <w:pPr>
        <w:pStyle w:val="BodyText"/>
        <w:jc w:val="both"/>
        <w:rPr>
          <w:highlight w:val="yellow"/>
        </w:rPr>
      </w:pPr>
      <w:r w:rsidRPr="001A6646">
        <w:t xml:space="preserve">The </w:t>
      </w:r>
      <w:r w:rsidR="006A2B15" w:rsidRPr="001A6646">
        <w:t>Graduate Careers Australia</w:t>
      </w:r>
      <w:r w:rsidRPr="001A6646">
        <w:t xml:space="preserve"> (GCA) </w:t>
      </w:r>
      <w:r w:rsidR="00F379CD" w:rsidRPr="001A6646">
        <w:t xml:space="preserve">guidelines for the interpretation of the </w:t>
      </w:r>
      <w:r w:rsidRPr="001A6646">
        <w:t xml:space="preserve">AGS </w:t>
      </w:r>
      <w:r w:rsidR="00F379CD" w:rsidRPr="001A6646">
        <w:t>survey data state</w:t>
      </w:r>
      <w:r w:rsidR="00B52101" w:rsidRPr="001A6646">
        <w:t xml:space="preserve"> that a total institutional respon</w:t>
      </w:r>
      <w:r w:rsidR="00F379CD" w:rsidRPr="001A6646">
        <w:t xml:space="preserve">se rate of </w:t>
      </w:r>
      <w:r w:rsidR="00B52101" w:rsidRPr="001A6646">
        <w:t>70% is</w:t>
      </w:r>
      <w:r w:rsidR="00F379CD" w:rsidRPr="001A6646">
        <w:t xml:space="preserve"> desirable and achievable for the GDS and the CEQ.  Any GDS and CEQ survey data with an overall institutional response rate below 50% should not be disclosed publically</w:t>
      </w:r>
      <w:r w:rsidR="00FD60EE" w:rsidRPr="001A6646">
        <w:t>.</w:t>
      </w:r>
      <w:r w:rsidR="00B52101" w:rsidRPr="001A6646">
        <w:t xml:space="preserve"> </w:t>
      </w:r>
      <w:r w:rsidR="00F379CD" w:rsidRPr="001A6646">
        <w:t xml:space="preserve"> </w:t>
      </w:r>
      <w:r w:rsidRPr="001A6646">
        <w:t>The national average for the GDS is 55.9% and the CEQ is 44.8%</w:t>
      </w:r>
      <w:r w:rsidR="00CF4A90" w:rsidRPr="001A6646">
        <w:t xml:space="preserve">, with several institutions not achieving a 50% response rate.  </w:t>
      </w:r>
      <w:r w:rsidR="001A6646">
        <w:t>Research</w:t>
      </w:r>
      <w:r w:rsidR="00CF4A90" w:rsidRPr="001A6646">
        <w:t xml:space="preserve"> </w:t>
      </w:r>
      <w:r w:rsidR="001A6646">
        <w:t xml:space="preserve">on response rates of national surveys in the United States and Europe shows a </w:t>
      </w:r>
      <w:r w:rsidR="0023119A">
        <w:t>decreas</w:t>
      </w:r>
      <w:r w:rsidR="00C20D76">
        <w:t>e in</w:t>
      </w:r>
      <w:r w:rsidR="0023119A">
        <w:t xml:space="preserve"> response rate</w:t>
      </w:r>
      <w:r w:rsidR="001A6646">
        <w:t xml:space="preserve"> from 60% in the 60’s to 21% in the 80’s</w:t>
      </w:r>
      <w:r w:rsidR="00AB2E42">
        <w:t xml:space="preserve"> </w:t>
      </w:r>
      <w:r w:rsidR="001A6646">
        <w:t>(</w:t>
      </w:r>
      <w:r w:rsidR="001A6646" w:rsidRPr="001A6646">
        <w:t xml:space="preserve">Atrostic, Bates, Burt, and </w:t>
      </w:r>
      <w:r w:rsidR="005644C2">
        <w:t>Silberstein, 2001)</w:t>
      </w:r>
      <w:r w:rsidR="001A6646">
        <w:t>.  T</w:t>
      </w:r>
      <w:r w:rsidR="00CF4A90">
        <w:t>he need for higher response rates</w:t>
      </w:r>
      <w:r w:rsidR="001A6646">
        <w:t xml:space="preserve"> to the AGS across</w:t>
      </w:r>
      <w:r w:rsidR="00CF4A90">
        <w:t xml:space="preserve"> institutions </w:t>
      </w:r>
      <w:r w:rsidR="00AB2E42">
        <w:t xml:space="preserve">in </w:t>
      </w:r>
      <w:r w:rsidR="00CF4A90">
        <w:t xml:space="preserve">Australia </w:t>
      </w:r>
      <w:r w:rsidR="00AB2E42">
        <w:t xml:space="preserve">led to the deployment of </w:t>
      </w:r>
      <w:r w:rsidR="00CF4A90">
        <w:t>a variety of different methods, of which incentives is one.</w:t>
      </w:r>
    </w:p>
    <w:p w:rsidR="005A678F" w:rsidRDefault="006A2B15" w:rsidP="00C20D76">
      <w:pPr>
        <w:pStyle w:val="BodyText"/>
        <w:jc w:val="both"/>
      </w:pPr>
      <w:r w:rsidRPr="0023119A">
        <w:t xml:space="preserve">The use of incentives to increase survey response cannot be separated from an overall holistic approach to </w:t>
      </w:r>
      <w:r w:rsidR="00AB2E42" w:rsidRPr="0023119A">
        <w:t xml:space="preserve">achieving “good” </w:t>
      </w:r>
      <w:r w:rsidRPr="0023119A">
        <w:t xml:space="preserve">response rates as described by Dillman </w:t>
      </w:r>
      <w:r w:rsidR="006F25D2">
        <w:t>(</w:t>
      </w:r>
      <w:r w:rsidRPr="0023119A">
        <w:t>2000</w:t>
      </w:r>
      <w:r w:rsidR="006F25D2">
        <w:t>)</w:t>
      </w:r>
      <w:r w:rsidRPr="0023119A">
        <w:t>.</w:t>
      </w:r>
      <w:r w:rsidR="00CF4A90">
        <w:t xml:space="preserve">  However, c</w:t>
      </w:r>
      <w:r w:rsidR="007C6787">
        <w:t xml:space="preserve">oncerns were raised </w:t>
      </w:r>
      <w:r w:rsidR="00395B44">
        <w:t xml:space="preserve">within the sector and </w:t>
      </w:r>
      <w:r w:rsidR="007C6787">
        <w:t xml:space="preserve">at the SRG </w:t>
      </w:r>
      <w:r w:rsidR="00395B44">
        <w:t xml:space="preserve">meeting </w:t>
      </w:r>
      <w:r w:rsidR="00B52101">
        <w:t xml:space="preserve">in April 2008 </w:t>
      </w:r>
      <w:r w:rsidR="0024222C">
        <w:t>regarding the range of different methods of incentives used across the sector to increase response rates.</w:t>
      </w:r>
      <w:r w:rsidR="00140883">
        <w:t xml:space="preserve"> Quot</w:t>
      </w:r>
      <w:r w:rsidR="006F25D2">
        <w:t>ing</w:t>
      </w:r>
      <w:r w:rsidR="00140883">
        <w:t xml:space="preserve"> from the minutes of the SRG </w:t>
      </w:r>
      <w:r w:rsidR="00B52101">
        <w:t>April</w:t>
      </w:r>
      <w:r w:rsidR="00140883">
        <w:t xml:space="preserve"> 08 meeting:</w:t>
      </w:r>
      <w:r w:rsidR="0024222C">
        <w:t xml:space="preserve">  </w:t>
      </w:r>
    </w:p>
    <w:p w:rsidR="00395B44" w:rsidRDefault="00140883" w:rsidP="00C20D76">
      <w:pPr>
        <w:pStyle w:val="BodyText"/>
        <w:ind w:firstLine="360"/>
        <w:jc w:val="both"/>
        <w:rPr>
          <w:i/>
          <w:lang w:val="en-AU"/>
        </w:rPr>
      </w:pPr>
      <w:r>
        <w:rPr>
          <w:i/>
          <w:lang w:val="en-AU"/>
        </w:rPr>
        <w:t>“</w:t>
      </w:r>
      <w:r w:rsidRPr="00140883">
        <w:rPr>
          <w:i/>
          <w:lang w:val="en-AU"/>
        </w:rPr>
        <w:t>The issue of incentives was discussed by the meeting, with the general feeling that the process should be made as standardised as possible. It was felt that, if incentives were to be offered, GCA should provide parameters about the level and type of incentives</w:t>
      </w:r>
      <w:r>
        <w:rPr>
          <w:i/>
          <w:lang w:val="en-AU"/>
        </w:rPr>
        <w:t>”</w:t>
      </w:r>
    </w:p>
    <w:p w:rsidR="009E2BED" w:rsidRPr="009E2BED" w:rsidRDefault="00AB2E42" w:rsidP="00C20D76">
      <w:pPr>
        <w:pStyle w:val="BodyText"/>
        <w:jc w:val="both"/>
      </w:pPr>
      <w:r>
        <w:lastRenderedPageBreak/>
        <w:t>T</w:t>
      </w:r>
      <w:r w:rsidR="009E2BED">
        <w:t xml:space="preserve">he SRG requested that </w:t>
      </w:r>
      <w:r w:rsidR="009E2BED" w:rsidRPr="009E2BED">
        <w:t>GCA develop parameters regarding the use of incentives for incorporation into the new survey model</w:t>
      </w:r>
      <w:r>
        <w:t xml:space="preserve"> as part the </w:t>
      </w:r>
      <w:r w:rsidR="0023119A">
        <w:t>ongoing</w:t>
      </w:r>
      <w:r>
        <w:t xml:space="preserve"> management of quality of the AGS dataset</w:t>
      </w:r>
      <w:r w:rsidR="009E2BED">
        <w:t xml:space="preserve">. </w:t>
      </w:r>
    </w:p>
    <w:p w:rsidR="00FD60EE" w:rsidRDefault="00FD60EE" w:rsidP="00C20D76">
      <w:pPr>
        <w:pStyle w:val="Heading1"/>
        <w:jc w:val="both"/>
      </w:pPr>
    </w:p>
    <w:p w:rsidR="00221223" w:rsidRDefault="00221223" w:rsidP="00C20D76">
      <w:pPr>
        <w:pStyle w:val="Heading1"/>
        <w:jc w:val="both"/>
      </w:pPr>
      <w:r>
        <w:t>Purpose</w:t>
      </w:r>
    </w:p>
    <w:p w:rsidR="000F6E9D" w:rsidRDefault="000F6E9D" w:rsidP="00C20D76">
      <w:pPr>
        <w:pStyle w:val="BodyText"/>
        <w:jc w:val="both"/>
      </w:pPr>
      <w:r>
        <w:t>This paper intends to</w:t>
      </w:r>
      <w:r w:rsidR="00221223">
        <w:t xml:space="preserve"> inform the </w:t>
      </w:r>
      <w:r w:rsidR="00414B86">
        <w:t>SRG</w:t>
      </w:r>
      <w:r w:rsidR="00221223">
        <w:t xml:space="preserve"> on the use of survey incentives and</w:t>
      </w:r>
      <w:r>
        <w:t xml:space="preserve"> provide</w:t>
      </w:r>
      <w:r w:rsidR="00414B86">
        <w:t xml:space="preserve"> draft </w:t>
      </w:r>
      <w:r w:rsidR="00221223">
        <w:t xml:space="preserve">protocols for institutions regarding the </w:t>
      </w:r>
      <w:r w:rsidR="00414B86">
        <w:t>offering</w:t>
      </w:r>
      <w:r w:rsidR="00221223">
        <w:t xml:space="preserve"> of incentives with the intention to</w:t>
      </w:r>
      <w:r w:rsidR="00414B86">
        <w:t xml:space="preserve"> further </w:t>
      </w:r>
      <w:r>
        <w:t>standardi</w:t>
      </w:r>
      <w:r w:rsidR="00414B86">
        <w:t>s</w:t>
      </w:r>
      <w:r>
        <w:t>e</w:t>
      </w:r>
      <w:r w:rsidR="00221223">
        <w:t xml:space="preserve"> sector implementation of the AGS and improve the</w:t>
      </w:r>
      <w:r>
        <w:t xml:space="preserve"> quality of </w:t>
      </w:r>
      <w:r w:rsidR="00221223">
        <w:t xml:space="preserve">survey </w:t>
      </w:r>
      <w:r>
        <w:t>data</w:t>
      </w:r>
      <w:r w:rsidR="00221223">
        <w:t xml:space="preserve">. </w:t>
      </w:r>
    </w:p>
    <w:p w:rsidR="0024222C" w:rsidRDefault="0024222C" w:rsidP="00C20D76">
      <w:pPr>
        <w:pStyle w:val="BodyText"/>
        <w:jc w:val="both"/>
      </w:pPr>
    </w:p>
    <w:p w:rsidR="00221223" w:rsidRDefault="00FD60EE" w:rsidP="00C20D76">
      <w:pPr>
        <w:pStyle w:val="Heading1"/>
        <w:jc w:val="both"/>
      </w:pPr>
      <w:r>
        <w:t xml:space="preserve">Literature Review </w:t>
      </w:r>
    </w:p>
    <w:p w:rsidR="00FD60EE" w:rsidRDefault="00FD60EE" w:rsidP="00C20D76">
      <w:pPr>
        <w:pStyle w:val="BodyText"/>
        <w:jc w:val="both"/>
      </w:pPr>
    </w:p>
    <w:p w:rsidR="00FD60EE" w:rsidRPr="00CD0810" w:rsidRDefault="00FD60EE" w:rsidP="00C20D76">
      <w:pPr>
        <w:pStyle w:val="BodyText"/>
        <w:jc w:val="both"/>
        <w:rPr>
          <w:b/>
        </w:rPr>
      </w:pPr>
      <w:r w:rsidRPr="00CD0810">
        <w:rPr>
          <w:b/>
        </w:rPr>
        <w:t>Overview</w:t>
      </w:r>
    </w:p>
    <w:p w:rsidR="00CD5506" w:rsidRPr="00D8218D" w:rsidRDefault="00CD5506" w:rsidP="00C20D76">
      <w:pPr>
        <w:pStyle w:val="BodyText"/>
        <w:jc w:val="both"/>
      </w:pPr>
      <w:r>
        <w:t xml:space="preserve">A variety of different forms of incentives are currently used with the intention to increase survey responses.  The most commonly used in </w:t>
      </w:r>
      <w:r w:rsidRPr="00D8218D">
        <w:t xml:space="preserve">several Australian Universities </w:t>
      </w:r>
      <w:r>
        <w:t xml:space="preserve">is the </w:t>
      </w:r>
      <w:r w:rsidRPr="00D8218D">
        <w:t xml:space="preserve">offering </w:t>
      </w:r>
      <w:r>
        <w:t xml:space="preserve">of </w:t>
      </w:r>
      <w:r w:rsidRPr="00D8218D">
        <w:t>monetary or non</w:t>
      </w:r>
      <w:r w:rsidR="005644C2">
        <w:t>-</w:t>
      </w:r>
      <w:r w:rsidRPr="00D8218D">
        <w:t>monetary</w:t>
      </w:r>
      <w:r>
        <w:t xml:space="preserve"> </w:t>
      </w:r>
      <w:r w:rsidRPr="00D8218D">
        <w:t>lottery prizes</w:t>
      </w:r>
      <w:r>
        <w:t xml:space="preserve"> for “early return”.  The</w:t>
      </w:r>
      <w:r w:rsidRPr="00D8218D">
        <w:t xml:space="preserve"> value </w:t>
      </w:r>
      <w:r>
        <w:t>ranges between $100 and</w:t>
      </w:r>
      <w:r w:rsidRPr="00D8218D">
        <w:t xml:space="preserve"> $3000</w:t>
      </w:r>
      <w:r>
        <w:t>.  Many institutions offer a</w:t>
      </w:r>
      <w:r w:rsidRPr="00D8218D">
        <w:t xml:space="preserve"> larger numbers of cash prizes</w:t>
      </w:r>
      <w:r>
        <w:t xml:space="preserve"> (e.g. 10 prizes of $500) which is believed to be</w:t>
      </w:r>
      <w:r w:rsidRPr="00D8218D">
        <w:t xml:space="preserve"> a useful strategy for improving response rates.</w:t>
      </w:r>
      <w:r w:rsidR="006F25D2">
        <w:t xml:space="preserve"> Others use</w:t>
      </w:r>
      <w:r>
        <w:t xml:space="preserve"> small post</w:t>
      </w:r>
      <w:r w:rsidR="006F25D2">
        <w:t>-paid</w:t>
      </w:r>
      <w:r>
        <w:t xml:space="preserve"> survey rewards in the form of vouchers or “points”</w:t>
      </w:r>
      <w:r w:rsidR="006F25D2">
        <w:t xml:space="preserve"> which can be used to purchase books or as a donation to a charity of their choice</w:t>
      </w:r>
      <w:r>
        <w:t xml:space="preserve">.  </w:t>
      </w:r>
    </w:p>
    <w:p w:rsidR="00CD5506" w:rsidRDefault="00CD5506" w:rsidP="00C20D76">
      <w:pPr>
        <w:pStyle w:val="BodyText"/>
        <w:jc w:val="both"/>
      </w:pPr>
      <w:r>
        <w:t>Studies on the effectiveness of these methods have been conducted and the literature on each will be reviewed in the section below.</w:t>
      </w:r>
      <w:r w:rsidR="00006303">
        <w:t xml:space="preserve"> These are summarised in </w:t>
      </w:r>
      <w:r w:rsidR="00006303" w:rsidRPr="005644C2">
        <w:rPr>
          <w:b/>
        </w:rPr>
        <w:t xml:space="preserve">Table </w:t>
      </w:r>
      <w:r w:rsidR="00B5189C">
        <w:rPr>
          <w:b/>
        </w:rPr>
        <w:t>1</w:t>
      </w:r>
      <w:r w:rsidR="00006303">
        <w:t xml:space="preserve"> </w:t>
      </w:r>
      <w:r w:rsidR="005644C2">
        <w:t xml:space="preserve">in </w:t>
      </w:r>
      <w:r w:rsidR="00006303">
        <w:t>the</w:t>
      </w:r>
      <w:r w:rsidR="005644C2">
        <w:t xml:space="preserve"> following</w:t>
      </w:r>
      <w:r w:rsidR="00006303">
        <w:t xml:space="preserve"> section.</w:t>
      </w:r>
    </w:p>
    <w:p w:rsidR="00CD5506" w:rsidRDefault="00CD5506" w:rsidP="00C20D76">
      <w:pPr>
        <w:pStyle w:val="BodyText"/>
        <w:jc w:val="both"/>
      </w:pPr>
    </w:p>
    <w:p w:rsidR="00CD5506" w:rsidRPr="00CD0810" w:rsidRDefault="00CD5506" w:rsidP="00C20D76">
      <w:pPr>
        <w:pStyle w:val="BodyText"/>
        <w:jc w:val="both"/>
        <w:rPr>
          <w:b/>
        </w:rPr>
      </w:pPr>
      <w:r w:rsidRPr="00CD0810">
        <w:rPr>
          <w:b/>
        </w:rPr>
        <w:t xml:space="preserve">Pre-Paid vs </w:t>
      </w:r>
      <w:r w:rsidR="00CD0810" w:rsidRPr="00CD0810">
        <w:rPr>
          <w:b/>
        </w:rPr>
        <w:t xml:space="preserve">Post-paid </w:t>
      </w:r>
      <w:r w:rsidRPr="00CD0810">
        <w:rPr>
          <w:b/>
        </w:rPr>
        <w:t>Reward</w:t>
      </w:r>
      <w:r w:rsidR="00CD0810" w:rsidRPr="00CD0810">
        <w:rPr>
          <w:b/>
        </w:rPr>
        <w:t>s (including</w:t>
      </w:r>
      <w:r w:rsidRPr="00CD0810">
        <w:rPr>
          <w:b/>
        </w:rPr>
        <w:t xml:space="preserve"> Lottery Incentives</w:t>
      </w:r>
      <w:r w:rsidR="00CD0810" w:rsidRPr="00CD0810">
        <w:rPr>
          <w:b/>
        </w:rPr>
        <w:t>)</w:t>
      </w:r>
    </w:p>
    <w:p w:rsidR="0054177C" w:rsidRPr="004256E0" w:rsidRDefault="00CD0810" w:rsidP="00C20D76">
      <w:pPr>
        <w:pStyle w:val="BodyText"/>
        <w:jc w:val="both"/>
      </w:pPr>
      <w:r w:rsidRPr="00D541FA">
        <w:t>Incentives can be divided into two groups</w:t>
      </w:r>
      <w:r>
        <w:t xml:space="preserve"> i.e. </w:t>
      </w:r>
      <w:r w:rsidRPr="00D541FA">
        <w:t xml:space="preserve"> pre</w:t>
      </w:r>
      <w:r w:rsidR="00C20D76">
        <w:t>-</w:t>
      </w:r>
      <w:r w:rsidRPr="00D541FA">
        <w:t>payment</w:t>
      </w:r>
      <w:r>
        <w:t xml:space="preserve"> and </w:t>
      </w:r>
      <w:r w:rsidRPr="00D541FA">
        <w:t>post</w:t>
      </w:r>
      <w:r w:rsidR="00C20D76">
        <w:t>-</w:t>
      </w:r>
      <w:r w:rsidRPr="00D541FA">
        <w:t>payment</w:t>
      </w:r>
      <w:r w:rsidR="0054177C">
        <w:t xml:space="preserve">.  This is </w:t>
      </w:r>
      <w:r w:rsidRPr="00D541FA">
        <w:t>based on when the survey recipient receives the incentive</w:t>
      </w:r>
      <w:r w:rsidR="0054177C">
        <w:t xml:space="preserve"> (</w:t>
      </w:r>
      <w:r w:rsidR="0054177C" w:rsidRPr="004256E0">
        <w:t xml:space="preserve">Porter </w:t>
      </w:r>
      <w:r w:rsidR="00A23BE6">
        <w:t>and</w:t>
      </w:r>
      <w:r w:rsidR="0054177C" w:rsidRPr="004256E0">
        <w:t xml:space="preserve"> Whitcomb</w:t>
      </w:r>
      <w:r w:rsidR="006F25D2">
        <w:t>,</w:t>
      </w:r>
      <w:r w:rsidR="0054177C" w:rsidRPr="004256E0">
        <w:t xml:space="preserve"> 2004</w:t>
      </w:r>
      <w:r w:rsidR="0054177C">
        <w:t>)</w:t>
      </w:r>
      <w:r w:rsidR="0054177C" w:rsidRPr="004256E0">
        <w:t>.</w:t>
      </w:r>
    </w:p>
    <w:p w:rsidR="00CD5506" w:rsidRPr="00D541FA" w:rsidRDefault="00D541FA" w:rsidP="00C20D76">
      <w:pPr>
        <w:pStyle w:val="BodyText"/>
        <w:jc w:val="both"/>
      </w:pPr>
      <w:r w:rsidRPr="00D541FA">
        <w:t xml:space="preserve">According to </w:t>
      </w:r>
      <w:r w:rsidRPr="004256E0">
        <w:t xml:space="preserve">Porter </w:t>
      </w:r>
      <w:r w:rsidR="00A23BE6">
        <w:t>and</w:t>
      </w:r>
      <w:r w:rsidRPr="004256E0">
        <w:t xml:space="preserve"> Whitcomb </w:t>
      </w:r>
      <w:r>
        <w:t>(</w:t>
      </w:r>
      <w:r w:rsidRPr="004256E0">
        <w:t>2004</w:t>
      </w:r>
      <w:r>
        <w:t>)</w:t>
      </w:r>
      <w:r w:rsidR="00CD0810">
        <w:t xml:space="preserve"> </w:t>
      </w:r>
      <w:r w:rsidR="00CD5506" w:rsidRPr="00D541FA">
        <w:t xml:space="preserve">empirical research on incentives indicates a conclusive positive impact on response rates; however, this impact depends </w:t>
      </w:r>
      <w:r w:rsidR="00A23BE6" w:rsidRPr="00D541FA">
        <w:t>greatly</w:t>
      </w:r>
      <w:r w:rsidR="00CD5506" w:rsidRPr="00D541FA">
        <w:t xml:space="preserve"> on the type of incentive used.</w:t>
      </w:r>
      <w:r w:rsidR="00CD0810">
        <w:t xml:space="preserve"> </w:t>
      </w:r>
      <w:r w:rsidR="00CD5506" w:rsidRPr="00D541FA">
        <w:t xml:space="preserve"> </w:t>
      </w:r>
      <w:r w:rsidR="007C2F36">
        <w:t xml:space="preserve"> </w:t>
      </w:r>
    </w:p>
    <w:p w:rsidR="007C2F36" w:rsidRPr="004256E0" w:rsidRDefault="007C2F36" w:rsidP="00C20D76">
      <w:pPr>
        <w:pStyle w:val="BodyText"/>
        <w:jc w:val="both"/>
      </w:pPr>
      <w:r w:rsidRPr="004256E0">
        <w:t xml:space="preserve">The research on the effects of </w:t>
      </w:r>
      <w:r>
        <w:t xml:space="preserve">postpaid and </w:t>
      </w:r>
      <w:r w:rsidRPr="004256E0">
        <w:t xml:space="preserve">lottery </w:t>
      </w:r>
      <w:r>
        <w:t xml:space="preserve">incentives </w:t>
      </w:r>
      <w:r w:rsidRPr="004256E0">
        <w:t>on response rates is not overly supportive of this practice,</w:t>
      </w:r>
      <w:r w:rsidR="006F25D2">
        <w:t xml:space="preserve"> in fact; research shows that these incentives</w:t>
      </w:r>
      <w:r>
        <w:t xml:space="preserve"> have little to no impact on </w:t>
      </w:r>
      <w:r w:rsidRPr="0023119A">
        <w:t>survey response</w:t>
      </w:r>
      <w:r w:rsidR="004256E0">
        <w:t xml:space="preserve"> </w:t>
      </w:r>
      <w:r w:rsidR="004256E0" w:rsidRPr="004256E0">
        <w:t>(Church, 1993; James and Bolstein, 1992;</w:t>
      </w:r>
      <w:r w:rsidR="004256E0">
        <w:t xml:space="preserve"> </w:t>
      </w:r>
      <w:r w:rsidR="004256E0" w:rsidRPr="004256E0">
        <w:t>Singer, van Hoewyk, and Maher, 2000; Warriner and others, 1996).</w:t>
      </w:r>
      <w:r w:rsidR="004256E0">
        <w:t xml:space="preserve"> However, the </w:t>
      </w:r>
      <w:r w:rsidR="004256E0" w:rsidRPr="004256E0">
        <w:t>paper by Port</w:t>
      </w:r>
      <w:r w:rsidR="00A23BE6">
        <w:t>er and</w:t>
      </w:r>
      <w:r w:rsidR="004256E0" w:rsidRPr="004256E0">
        <w:t xml:space="preserve"> Whitcomb </w:t>
      </w:r>
      <w:r w:rsidR="004256E0">
        <w:t>(</w:t>
      </w:r>
      <w:r w:rsidR="004256E0" w:rsidRPr="004256E0">
        <w:t>2004</w:t>
      </w:r>
      <w:r w:rsidR="004256E0">
        <w:t>) points out that p</w:t>
      </w:r>
      <w:r w:rsidR="004256E0" w:rsidRPr="004256E0">
        <w:t>revious studies have been conducted on members of the general population</w:t>
      </w:r>
      <w:r w:rsidR="004256E0">
        <w:t xml:space="preserve"> </w:t>
      </w:r>
      <w:r w:rsidR="004256E0" w:rsidRPr="004256E0">
        <w:t>and it may be possible that college students are more price-sensitive</w:t>
      </w:r>
      <w:r w:rsidR="004256E0">
        <w:t xml:space="preserve"> </w:t>
      </w:r>
      <w:r w:rsidR="004256E0" w:rsidRPr="004256E0">
        <w:t>than the average person. If so, lottery incentives may have an impact on</w:t>
      </w:r>
      <w:r w:rsidR="004256E0">
        <w:t xml:space="preserve"> </w:t>
      </w:r>
      <w:r w:rsidR="004256E0" w:rsidRPr="004256E0">
        <w:t>rates of response to student surveys while not having any impact on rates</w:t>
      </w:r>
      <w:r w:rsidR="004256E0">
        <w:t xml:space="preserve"> </w:t>
      </w:r>
      <w:r w:rsidR="004256E0" w:rsidRPr="004256E0">
        <w:t>of response to surveys of the general population</w:t>
      </w:r>
      <w:r w:rsidR="004256E0">
        <w:t xml:space="preserve"> (</w:t>
      </w:r>
      <w:r w:rsidR="004256E0" w:rsidRPr="004256E0">
        <w:t xml:space="preserve">Porter </w:t>
      </w:r>
      <w:r w:rsidR="00A23BE6">
        <w:t>and</w:t>
      </w:r>
      <w:r w:rsidR="004256E0" w:rsidRPr="004256E0">
        <w:t xml:space="preserve"> Whitcomb 2004</w:t>
      </w:r>
      <w:r w:rsidR="004256E0">
        <w:t>)</w:t>
      </w:r>
      <w:r w:rsidR="004256E0" w:rsidRPr="004256E0">
        <w:t>.</w:t>
      </w:r>
      <w:r w:rsidRPr="007C2F36">
        <w:t xml:space="preserve"> </w:t>
      </w:r>
      <w:r w:rsidR="00D63598">
        <w:t xml:space="preserve"> </w:t>
      </w:r>
      <w:r w:rsidRPr="004256E0">
        <w:t xml:space="preserve">Church </w:t>
      </w:r>
      <w:r w:rsidRPr="004256E0">
        <w:lastRenderedPageBreak/>
        <w:t>(1993) estimated the effects on</w:t>
      </w:r>
      <w:r>
        <w:t xml:space="preserve"> </w:t>
      </w:r>
      <w:r w:rsidRPr="004256E0">
        <w:t>response rate of a monetary prize contingent on return, and a</w:t>
      </w:r>
      <w:r>
        <w:t xml:space="preserve"> </w:t>
      </w:r>
      <w:r w:rsidRPr="004256E0">
        <w:t>non</w:t>
      </w:r>
      <w:r>
        <w:t>-</w:t>
      </w:r>
      <w:r w:rsidRPr="004256E0">
        <w:t>monetary</w:t>
      </w:r>
      <w:r>
        <w:t xml:space="preserve"> </w:t>
      </w:r>
      <w:r w:rsidRPr="004256E0">
        <w:t>prize contingent on return, as 4.5% and 1.2%respectively.</w:t>
      </w:r>
    </w:p>
    <w:p w:rsidR="00C11F94" w:rsidRDefault="00C11F94" w:rsidP="00C20D76">
      <w:pPr>
        <w:pStyle w:val="BodyText"/>
        <w:jc w:val="both"/>
      </w:pPr>
    </w:p>
    <w:p w:rsidR="0001770D" w:rsidRPr="0001770D" w:rsidRDefault="00C11F94" w:rsidP="00C20D76">
      <w:pPr>
        <w:pStyle w:val="BodyText"/>
        <w:jc w:val="both"/>
      </w:pPr>
      <w:r w:rsidRPr="00B74EBB">
        <w:t xml:space="preserve">Research </w:t>
      </w:r>
      <w:r w:rsidR="00D63598">
        <w:t xml:space="preserve">by Singer (2002) </w:t>
      </w:r>
      <w:r w:rsidRPr="00B74EBB">
        <w:t>has shown that incentives have the largest effect when there</w:t>
      </w:r>
      <w:r>
        <w:t xml:space="preserve"> </w:t>
      </w:r>
      <w:r w:rsidRPr="00B74EBB">
        <w:t>are few reasons to participate</w:t>
      </w:r>
      <w:r w:rsidR="00FE61CE">
        <w:t xml:space="preserve">. </w:t>
      </w:r>
      <w:r w:rsidRPr="00C11F94">
        <w:t xml:space="preserve">An experiment with lottery incentives used in a college survey conducted by Porter and Whitcomb </w:t>
      </w:r>
      <w:r w:rsidR="00FE61CE">
        <w:t>(</w:t>
      </w:r>
      <w:r w:rsidRPr="00C11F94">
        <w:t>2004</w:t>
      </w:r>
      <w:r w:rsidR="00FE61CE">
        <w:t>)</w:t>
      </w:r>
      <w:r w:rsidRPr="00C11F94">
        <w:t xml:space="preserve"> showed a small difference between the response rates of the control group (14%) and incentive groups (15.6%). </w:t>
      </w:r>
      <w:r w:rsidR="0001770D">
        <w:t>The experiment included 5 groups - a control group and four incentive groups with prize draws of $50, $100, $150 and $200.  According to Porter and Whitcomb (</w:t>
      </w:r>
      <w:r w:rsidR="0001770D" w:rsidRPr="00C11F94">
        <w:t>2004</w:t>
      </w:r>
      <w:r w:rsidR="0001770D">
        <w:t>)</w:t>
      </w:r>
      <w:r w:rsidR="00FE61CE">
        <w:t xml:space="preserve"> t</w:t>
      </w:r>
      <w:r w:rsidR="0001770D" w:rsidRPr="0001770D">
        <w:t>he offer of a $100 gift certificate in a drawing increased the</w:t>
      </w:r>
      <w:r w:rsidR="0001770D">
        <w:t xml:space="preserve"> </w:t>
      </w:r>
      <w:r w:rsidR="0001770D" w:rsidRPr="0001770D">
        <w:t>response rate by 2 percentage points, but there were no other significant differences</w:t>
      </w:r>
      <w:r w:rsidR="0001770D">
        <w:t xml:space="preserve"> </w:t>
      </w:r>
      <w:r w:rsidR="0001770D" w:rsidRPr="0001770D">
        <w:t>between the control and incentive groups. Given the very large</w:t>
      </w:r>
      <w:r w:rsidR="0001770D">
        <w:t xml:space="preserve"> </w:t>
      </w:r>
      <w:r w:rsidR="0001770D" w:rsidRPr="0001770D">
        <w:t>sample size and p value (only .047), this is a weak finding, especially in</w:t>
      </w:r>
      <w:r w:rsidR="0001770D">
        <w:t xml:space="preserve"> </w:t>
      </w:r>
      <w:r w:rsidR="0001770D" w:rsidRPr="0001770D">
        <w:t>terms of the substantive effect. In addition, it does not appear that offering</w:t>
      </w:r>
      <w:r w:rsidR="00697BBB">
        <w:t xml:space="preserve"> </w:t>
      </w:r>
      <w:r w:rsidR="0001770D" w:rsidRPr="0001770D">
        <w:t>incentives</w:t>
      </w:r>
      <w:r w:rsidR="00697BBB">
        <w:t xml:space="preserve"> of a higher value</w:t>
      </w:r>
      <w:r w:rsidR="0001770D" w:rsidRPr="0001770D">
        <w:t xml:space="preserve"> has a positive impact on response</w:t>
      </w:r>
      <w:r w:rsidR="00697BBB">
        <w:t xml:space="preserve"> rates</w:t>
      </w:r>
      <w:r w:rsidR="00A23BE6">
        <w:t xml:space="preserve"> (</w:t>
      </w:r>
      <w:r w:rsidR="00A23BE6" w:rsidRPr="00C11F94">
        <w:t>Porter and Whitcomb</w:t>
      </w:r>
      <w:r w:rsidR="00A23BE6">
        <w:t xml:space="preserve">, </w:t>
      </w:r>
      <w:r w:rsidR="00A23BE6" w:rsidRPr="00C11F94">
        <w:t>2004</w:t>
      </w:r>
      <w:r w:rsidR="00A23BE6">
        <w:t>)</w:t>
      </w:r>
      <w:r w:rsidR="0001770D" w:rsidRPr="0001770D">
        <w:t xml:space="preserve">. </w:t>
      </w:r>
      <w:r w:rsidR="0001770D">
        <w:t xml:space="preserve"> </w:t>
      </w:r>
    </w:p>
    <w:p w:rsidR="000845C5" w:rsidRDefault="000845C5" w:rsidP="00C20D76">
      <w:pPr>
        <w:pStyle w:val="BodyText"/>
        <w:jc w:val="both"/>
      </w:pPr>
    </w:p>
    <w:p w:rsidR="00C724FA" w:rsidRPr="00C724FA" w:rsidRDefault="00C11F94" w:rsidP="00C20D76">
      <w:pPr>
        <w:pStyle w:val="BodyText"/>
        <w:jc w:val="both"/>
      </w:pPr>
      <w:r w:rsidRPr="00C11F94">
        <w:t>ANOVA tests on the number of questions completed showed lower item non</w:t>
      </w:r>
      <w:r>
        <w:t>-</w:t>
      </w:r>
      <w:r w:rsidRPr="00C11F94">
        <w:t>response for respondents</w:t>
      </w:r>
      <w:r>
        <w:t xml:space="preserve"> </w:t>
      </w:r>
      <w:r w:rsidRPr="00C11F94">
        <w:t>in the incentive groups</w:t>
      </w:r>
      <w:r>
        <w:t xml:space="preserve">. </w:t>
      </w:r>
      <w:r w:rsidR="00C724FA">
        <w:t xml:space="preserve">  Further findings of this study by </w:t>
      </w:r>
      <w:r w:rsidR="00C724FA" w:rsidRPr="00C11F94">
        <w:t>Porter and Whitcomb, 2004</w:t>
      </w:r>
      <w:r w:rsidR="00C724FA">
        <w:t xml:space="preserve"> </w:t>
      </w:r>
      <w:r w:rsidR="00C724FA" w:rsidRPr="00C724FA">
        <w:t>suggest that the use</w:t>
      </w:r>
      <w:r w:rsidR="00C724FA">
        <w:t xml:space="preserve"> </w:t>
      </w:r>
      <w:r w:rsidR="00C724FA" w:rsidRPr="00C724FA">
        <w:t xml:space="preserve">of </w:t>
      </w:r>
      <w:r w:rsidR="002E50D9">
        <w:t>incentive</w:t>
      </w:r>
      <w:r w:rsidR="00C724FA" w:rsidRPr="00C724FA">
        <w:t xml:space="preserve"> may have caused respondents to complete a greater number of</w:t>
      </w:r>
      <w:r w:rsidR="00C724FA">
        <w:t xml:space="preserve"> </w:t>
      </w:r>
      <w:r w:rsidR="00C724FA" w:rsidRPr="00C724FA">
        <w:t xml:space="preserve">items specific to the </w:t>
      </w:r>
      <w:r w:rsidR="005C0F54">
        <w:t>institution</w:t>
      </w:r>
      <w:r w:rsidR="00C724FA" w:rsidRPr="00C724FA">
        <w:t xml:space="preserve"> offering the reward, while more general survey</w:t>
      </w:r>
      <w:r w:rsidR="00C724FA">
        <w:t xml:space="preserve"> </w:t>
      </w:r>
      <w:r w:rsidR="00C724FA" w:rsidRPr="00C724FA">
        <w:t>questions were completed at a rate that was identical to that of respondents</w:t>
      </w:r>
      <w:r w:rsidR="00C724FA">
        <w:t xml:space="preserve"> </w:t>
      </w:r>
      <w:r w:rsidR="00C724FA" w:rsidRPr="00C724FA">
        <w:t>not offered an incentive. The substantive difference is quite small,</w:t>
      </w:r>
      <w:r w:rsidR="00C724FA">
        <w:t xml:space="preserve"> </w:t>
      </w:r>
      <w:r w:rsidR="00C724FA" w:rsidRPr="00C724FA">
        <w:t>however: about 0.5 items</w:t>
      </w:r>
      <w:r w:rsidR="0001770D">
        <w:t xml:space="preserve"> (Porter </w:t>
      </w:r>
      <w:r w:rsidR="00A23BE6">
        <w:t>and</w:t>
      </w:r>
      <w:r w:rsidR="0001770D">
        <w:t xml:space="preserve"> Whitcomb, </w:t>
      </w:r>
      <w:r w:rsidR="0001770D" w:rsidRPr="00C11F94">
        <w:t>2004</w:t>
      </w:r>
      <w:r w:rsidR="0001770D">
        <w:t xml:space="preserve">). </w:t>
      </w:r>
    </w:p>
    <w:p w:rsidR="00FE61CE" w:rsidRDefault="00FE61CE" w:rsidP="00C20D76">
      <w:pPr>
        <w:pStyle w:val="BodyText"/>
        <w:jc w:val="both"/>
        <w:rPr>
          <w:b/>
        </w:rPr>
      </w:pPr>
    </w:p>
    <w:p w:rsidR="00C20F15" w:rsidRPr="00C20F15" w:rsidRDefault="00C20F15" w:rsidP="00C20D76">
      <w:pPr>
        <w:pStyle w:val="BodyText"/>
        <w:jc w:val="both"/>
      </w:pPr>
      <w:r w:rsidRPr="00C20F15">
        <w:t xml:space="preserve">In the discussion on the results of post survey </w:t>
      </w:r>
      <w:r w:rsidRPr="00C11F94">
        <w:t>lottery incentives</w:t>
      </w:r>
      <w:r>
        <w:t xml:space="preserve"> Porter and Whitcomb (2004) argues that a larger number of lottery awards available to participants could have a positive effect on survey response rate, however, this has not been tested.  </w:t>
      </w:r>
    </w:p>
    <w:p w:rsidR="00B1150B" w:rsidRDefault="00B1150B" w:rsidP="00C20D76">
      <w:pPr>
        <w:pStyle w:val="BodyText"/>
        <w:jc w:val="both"/>
        <w:rPr>
          <w:b/>
        </w:rPr>
      </w:pPr>
    </w:p>
    <w:p w:rsidR="00FD60EE" w:rsidRPr="00DA75A7" w:rsidRDefault="00BE1D2D" w:rsidP="00C20D76">
      <w:pPr>
        <w:pStyle w:val="BodyText"/>
        <w:jc w:val="both"/>
        <w:rPr>
          <w:b/>
        </w:rPr>
      </w:pPr>
      <w:r w:rsidRPr="00DA75A7">
        <w:rPr>
          <w:b/>
        </w:rPr>
        <w:t>Pre-</w:t>
      </w:r>
      <w:r w:rsidR="00FD60EE" w:rsidRPr="00DA75A7">
        <w:rPr>
          <w:b/>
        </w:rPr>
        <w:t>survey reward</w:t>
      </w:r>
    </w:p>
    <w:p w:rsidR="0054177C" w:rsidRPr="00DA75A7" w:rsidRDefault="003361EA" w:rsidP="00C20D76">
      <w:pPr>
        <w:pStyle w:val="BodyText"/>
        <w:jc w:val="both"/>
      </w:pPr>
      <w:r>
        <w:t>Most common</w:t>
      </w:r>
      <w:r w:rsidR="00DA75A7" w:rsidRPr="00DA75A7">
        <w:t xml:space="preserve"> </w:t>
      </w:r>
      <w:r w:rsidR="005C0F54">
        <w:t>in</w:t>
      </w:r>
      <w:r w:rsidR="0054177C" w:rsidRPr="00DA75A7">
        <w:t xml:space="preserve"> prepaid incentive</w:t>
      </w:r>
      <w:r>
        <w:t>s</w:t>
      </w:r>
      <w:r w:rsidR="0054177C" w:rsidRPr="00DA75A7">
        <w:t xml:space="preserve"> is the inclusion of $1 or $2 with the initial</w:t>
      </w:r>
      <w:r w:rsidR="00DA75A7">
        <w:t xml:space="preserve"> </w:t>
      </w:r>
      <w:r w:rsidR="0054177C" w:rsidRPr="00DA75A7">
        <w:t xml:space="preserve">mailing of the survey, with some researchers using $5 </w:t>
      </w:r>
      <w:r>
        <w:t>or $10 payments</w:t>
      </w:r>
      <w:r w:rsidRPr="00DA75A7">
        <w:t xml:space="preserve"> </w:t>
      </w:r>
      <w:r w:rsidR="0054177C" w:rsidRPr="00DA75A7">
        <w:t>(for example,</w:t>
      </w:r>
      <w:r w:rsidR="00DA75A7" w:rsidRPr="00DA75A7">
        <w:t xml:space="preserve"> </w:t>
      </w:r>
      <w:r w:rsidR="0054177C" w:rsidRPr="00DA75A7">
        <w:t>Singer, van Hoewyk, a</w:t>
      </w:r>
      <w:r>
        <w:t>nd Maher, 2000)</w:t>
      </w:r>
      <w:r w:rsidR="0054177C" w:rsidRPr="00DA75A7">
        <w:t xml:space="preserve">. </w:t>
      </w:r>
      <w:r w:rsidR="00284C8F">
        <w:t xml:space="preserve"> </w:t>
      </w:r>
      <w:r w:rsidR="0054177C" w:rsidRPr="00DA75A7">
        <w:t>Zusman and Duby (1987) found a substantial</w:t>
      </w:r>
      <w:r w:rsidR="00DA75A7" w:rsidRPr="00DA75A7">
        <w:t xml:space="preserve"> </w:t>
      </w:r>
      <w:r w:rsidR="0054177C" w:rsidRPr="00DA75A7">
        <w:t>effect from a $1 prepayment to a post</w:t>
      </w:r>
      <w:r w:rsidR="005C0F54">
        <w:t>-</w:t>
      </w:r>
      <w:r w:rsidR="0054177C" w:rsidRPr="00DA75A7">
        <w:t xml:space="preserve">secondary student sample of </w:t>
      </w:r>
      <w:r w:rsidR="00D11765">
        <w:t>stop-</w:t>
      </w:r>
      <w:r w:rsidR="00D11765" w:rsidRPr="00DA75A7">
        <w:t>outs</w:t>
      </w:r>
      <w:r w:rsidR="0054177C" w:rsidRPr="00DA75A7">
        <w:t>,</w:t>
      </w:r>
      <w:r w:rsidR="00DA75A7" w:rsidRPr="00DA75A7">
        <w:t xml:space="preserve"> </w:t>
      </w:r>
      <w:r w:rsidR="0054177C" w:rsidRPr="00DA75A7">
        <w:t>finding an increase in response rate of almost 19 percentage points.</w:t>
      </w:r>
      <w:r w:rsidR="00DA75A7" w:rsidRPr="00DA75A7">
        <w:t xml:space="preserve"> </w:t>
      </w:r>
      <w:r w:rsidR="0054177C" w:rsidRPr="00DA75A7">
        <w:t>The relationship between size of incentive and survey response is less</w:t>
      </w:r>
      <w:r w:rsidR="00DA75A7" w:rsidRPr="00DA75A7">
        <w:t xml:space="preserve"> </w:t>
      </w:r>
      <w:r w:rsidR="0054177C" w:rsidRPr="00DA75A7">
        <w:t>clear. Some scholars (Heberlein and Baumgartner, 1978; Hubbard and Little,</w:t>
      </w:r>
      <w:r w:rsidR="00DA75A7" w:rsidRPr="00DA75A7">
        <w:t xml:space="preserve"> </w:t>
      </w:r>
      <w:r w:rsidR="0054177C" w:rsidRPr="00DA75A7">
        <w:t>1988; James and Bolstein, 1990, 1992; Kropf, Scheib, and Blair, 1999) have</w:t>
      </w:r>
      <w:r w:rsidR="00DA75A7" w:rsidRPr="00DA75A7">
        <w:t xml:space="preserve"> </w:t>
      </w:r>
      <w:r w:rsidR="0054177C" w:rsidRPr="00DA75A7">
        <w:t>found that increasing the value of a prepaid incentive leads to higher</w:t>
      </w:r>
      <w:r w:rsidR="00DA75A7" w:rsidRPr="00DA75A7">
        <w:t xml:space="preserve"> </w:t>
      </w:r>
      <w:r w:rsidR="0054177C" w:rsidRPr="00DA75A7">
        <w:t xml:space="preserve">response rates, although the impact appears to </w:t>
      </w:r>
      <w:r>
        <w:t>decrease</w:t>
      </w:r>
      <w:r w:rsidR="0054177C" w:rsidRPr="00DA75A7">
        <w:t xml:space="preserve"> as the value of the</w:t>
      </w:r>
      <w:r w:rsidR="00DA75A7" w:rsidRPr="00DA75A7">
        <w:t xml:space="preserve"> </w:t>
      </w:r>
      <w:r w:rsidR="0054177C" w:rsidRPr="00DA75A7">
        <w:t>incentive increases (Fox, Crask, and Kim, 1988; Warriner and others,</w:t>
      </w:r>
      <w:r w:rsidR="00DA75A7" w:rsidRPr="00DA75A7">
        <w:t xml:space="preserve"> </w:t>
      </w:r>
      <w:r w:rsidR="0054177C" w:rsidRPr="00DA75A7">
        <w:t>1996). Others (Jobber and Saunders, 1988, 1989) find that moving beyond</w:t>
      </w:r>
      <w:r w:rsidR="00DA75A7" w:rsidRPr="00DA75A7">
        <w:t xml:space="preserve"> </w:t>
      </w:r>
      <w:r w:rsidR="0054177C" w:rsidRPr="00DA75A7">
        <w:t xml:space="preserve">a </w:t>
      </w:r>
      <w:r>
        <w:t>gesture</w:t>
      </w:r>
      <w:r w:rsidR="0054177C" w:rsidRPr="00DA75A7">
        <w:t xml:space="preserve"> amount has little</w:t>
      </w:r>
      <w:r w:rsidR="00E3107D">
        <w:t xml:space="preserve"> or no impact on re</w:t>
      </w:r>
      <w:r w:rsidR="00284C8F">
        <w:t>sponse rates.</w:t>
      </w:r>
    </w:p>
    <w:p w:rsidR="00FD60EE" w:rsidRDefault="00FD60EE" w:rsidP="00C20D76">
      <w:pPr>
        <w:pStyle w:val="BodyText"/>
        <w:jc w:val="both"/>
      </w:pPr>
    </w:p>
    <w:p w:rsidR="007E2317" w:rsidRDefault="005F5B1C" w:rsidP="00C20D76">
      <w:pPr>
        <w:pStyle w:val="BodyText"/>
        <w:jc w:val="both"/>
      </w:pPr>
      <w:r>
        <w:t>After conducting five separate tests,</w:t>
      </w:r>
      <w:r w:rsidR="008711D8">
        <w:t xml:space="preserve"> D</w:t>
      </w:r>
      <w:r w:rsidR="00284C8F">
        <w:t>i</w:t>
      </w:r>
      <w:r w:rsidR="008711D8">
        <w:t xml:space="preserve">llman (2000) </w:t>
      </w:r>
      <w:r>
        <w:t xml:space="preserve">indicated that </w:t>
      </w:r>
      <w:r w:rsidR="008711D8">
        <w:t>the modest pre-paid incentive of $1 or $2 (whether sent by cash or che</w:t>
      </w:r>
      <w:r>
        <w:t>ck) administered in conjunction with four wave personal mail out,</w:t>
      </w:r>
      <w:r w:rsidR="008711D8">
        <w:t xml:space="preserve"> has proven to be </w:t>
      </w:r>
      <w:r w:rsidR="00786A56">
        <w:t>markedly</w:t>
      </w:r>
      <w:r w:rsidR="008711D8">
        <w:t xml:space="preserve"> powerful</w:t>
      </w:r>
      <w:r w:rsidR="00284C8F">
        <w:t xml:space="preserve"> (Porter, 2004).</w:t>
      </w:r>
      <w:r w:rsidR="008711D8">
        <w:t xml:space="preserve"> </w:t>
      </w:r>
      <w:r>
        <w:t xml:space="preserve"> This method increased the response rate with an additional 19 and 31 percentage points. </w:t>
      </w:r>
    </w:p>
    <w:p w:rsidR="00F24D58" w:rsidRDefault="00F24D58" w:rsidP="00C20D76">
      <w:pPr>
        <w:pStyle w:val="BodyText"/>
        <w:jc w:val="both"/>
      </w:pPr>
    </w:p>
    <w:p w:rsidR="00F24D58" w:rsidRPr="00B1150B" w:rsidRDefault="00F24D58" w:rsidP="00F24D58">
      <w:pPr>
        <w:pStyle w:val="BodyText"/>
        <w:jc w:val="both"/>
        <w:rPr>
          <w:b/>
        </w:rPr>
      </w:pPr>
      <w:r>
        <w:rPr>
          <w:b/>
        </w:rPr>
        <w:t>Contributions to charities</w:t>
      </w:r>
    </w:p>
    <w:p w:rsidR="00F24D58" w:rsidRPr="00DA75A7" w:rsidRDefault="00F24D58" w:rsidP="00F24D58">
      <w:pPr>
        <w:pStyle w:val="BodyText"/>
        <w:jc w:val="both"/>
      </w:pPr>
      <w:r w:rsidRPr="00DA75A7">
        <w:t>Several scholars, however, have also studied how offers of contributions to charity affect response rates and have concluded that promised charitable contributions have no effect on respondent behavior (Furse and Stewart, 1982; Hubbard and Little, 1988; Warriner and others, 1996).</w:t>
      </w:r>
    </w:p>
    <w:p w:rsidR="00F24D58" w:rsidRPr="00C11F94" w:rsidRDefault="00F24D58" w:rsidP="00F24D58">
      <w:pPr>
        <w:pStyle w:val="BodyText"/>
        <w:jc w:val="both"/>
      </w:pPr>
    </w:p>
    <w:p w:rsidR="00F24D58" w:rsidRPr="00B1150B" w:rsidRDefault="00F24D58" w:rsidP="00F24D58">
      <w:pPr>
        <w:pStyle w:val="BodyText"/>
        <w:jc w:val="both"/>
        <w:rPr>
          <w:b/>
        </w:rPr>
      </w:pPr>
      <w:r w:rsidRPr="00B1150B">
        <w:rPr>
          <w:b/>
        </w:rPr>
        <w:t>Consistency</w:t>
      </w:r>
    </w:p>
    <w:p w:rsidR="00F24D58" w:rsidRPr="00DA75A7" w:rsidRDefault="00F24D58" w:rsidP="00F24D58">
      <w:pPr>
        <w:pStyle w:val="BodyText"/>
        <w:jc w:val="both"/>
      </w:pPr>
      <w:r w:rsidRPr="00B74EBB">
        <w:t xml:space="preserve">A final concern is the extent </w:t>
      </w:r>
      <w:r w:rsidR="009C46C5">
        <w:t xml:space="preserve">that incentives </w:t>
      </w:r>
      <w:r w:rsidRPr="00B74EBB">
        <w:t>may create expectation effects that will negatively affect</w:t>
      </w:r>
      <w:r>
        <w:t xml:space="preserve"> </w:t>
      </w:r>
      <w:r w:rsidRPr="00B74EBB">
        <w:t xml:space="preserve">future surveys </w:t>
      </w:r>
      <w:r w:rsidR="00E3107D">
        <w:t>(</w:t>
      </w:r>
      <w:r w:rsidRPr="00B74EBB">
        <w:t>Dillman, 2000)</w:t>
      </w:r>
      <w:r>
        <w:t xml:space="preserve">.  </w:t>
      </w:r>
      <w:r w:rsidRPr="00DA75A7">
        <w:t xml:space="preserve">The current research indicates that this is </w:t>
      </w:r>
      <w:r w:rsidR="00D119D3" w:rsidRPr="00DA75A7">
        <w:t>an</w:t>
      </w:r>
      <w:r w:rsidRPr="00DA75A7">
        <w:t xml:space="preserve"> </w:t>
      </w:r>
      <w:r w:rsidR="009C46C5">
        <w:t xml:space="preserve">insignificant issue </w:t>
      </w:r>
      <w:r w:rsidRPr="00DA75A7">
        <w:t>(Singer,</w:t>
      </w:r>
      <w:r>
        <w:t xml:space="preserve"> </w:t>
      </w:r>
      <w:r w:rsidR="00284C8F">
        <w:t>van Hoewyk, and Maher, 1998</w:t>
      </w:r>
      <w:r w:rsidRPr="00DA75A7">
        <w:t>).</w:t>
      </w:r>
      <w:r>
        <w:t xml:space="preserve"> </w:t>
      </w:r>
      <w:r w:rsidRPr="00DA75A7">
        <w:t>These studies, however, tested the impact of incentives on subsequent survey</w:t>
      </w:r>
      <w:r>
        <w:t xml:space="preserve"> </w:t>
      </w:r>
      <w:r w:rsidRPr="00DA75A7">
        <w:t>response after a six-month or twelve-month period.</w:t>
      </w:r>
    </w:p>
    <w:p w:rsidR="00D119D3" w:rsidRDefault="00D119D3" w:rsidP="009C46C5">
      <w:pPr>
        <w:pStyle w:val="BodyText"/>
      </w:pPr>
    </w:p>
    <w:p w:rsidR="0024222C" w:rsidRDefault="009E2BED" w:rsidP="00C20D76">
      <w:pPr>
        <w:pStyle w:val="Heading1"/>
        <w:jc w:val="both"/>
      </w:pPr>
      <w:r>
        <w:t xml:space="preserve">Discussion </w:t>
      </w:r>
    </w:p>
    <w:p w:rsidR="0024222C" w:rsidRDefault="0024222C" w:rsidP="00C20D76">
      <w:pPr>
        <w:pStyle w:val="BodyText"/>
        <w:jc w:val="both"/>
      </w:pPr>
    </w:p>
    <w:p w:rsidR="00F24D58" w:rsidRDefault="00F24D58" w:rsidP="00F24D58">
      <w:pPr>
        <w:pStyle w:val="BodyText"/>
        <w:jc w:val="both"/>
      </w:pPr>
      <w:r>
        <w:t>R</w:t>
      </w:r>
      <w:r w:rsidRPr="0008099F">
        <w:t>esearch</w:t>
      </w:r>
      <w:r>
        <w:t xml:space="preserve"> conducted by Porter and Whitcomb (</w:t>
      </w:r>
      <w:r w:rsidRPr="00C11F94">
        <w:t>2004</w:t>
      </w:r>
      <w:r>
        <w:t>)</w:t>
      </w:r>
      <w:r w:rsidRPr="0008099F">
        <w:t xml:space="preserve"> raises the question of effectiveness and resource allocation</w:t>
      </w:r>
      <w:r w:rsidR="00821F36">
        <w:t xml:space="preserve"> at institutions</w:t>
      </w:r>
      <w:r w:rsidRPr="0008099F">
        <w:t xml:space="preserve">. </w:t>
      </w:r>
      <w:r w:rsidR="00E51684" w:rsidRPr="00821F36">
        <w:rPr>
          <w:b/>
        </w:rPr>
        <w:t>Table 1</w:t>
      </w:r>
      <w:r w:rsidR="00E51684">
        <w:t xml:space="preserve"> shows a summary of the literature review, scientific evidence of the impact of various types of incentives and the advantages and disadvantages for each. </w:t>
      </w:r>
    </w:p>
    <w:p w:rsidR="00141CFE" w:rsidRDefault="00141CFE" w:rsidP="00F24D58">
      <w:pPr>
        <w:pStyle w:val="BodyText"/>
        <w:jc w:val="both"/>
      </w:pPr>
    </w:p>
    <w:p w:rsidR="00141CFE" w:rsidRDefault="00396C7D" w:rsidP="00F24D58">
      <w:pPr>
        <w:pStyle w:val="BodyText"/>
        <w:jc w:val="both"/>
      </w:pPr>
      <w:r>
        <w:t xml:space="preserve">Pre-paid incentives show proven positive results on response rates, but are difficult or impractical to implement while post-paid incentives </w:t>
      </w:r>
      <w:r w:rsidR="00EA154A">
        <w:t xml:space="preserve">are </w:t>
      </w:r>
      <w:r>
        <w:t>more convenient</w:t>
      </w:r>
      <w:r w:rsidR="00EA154A">
        <w:t xml:space="preserve"> to implement</w:t>
      </w:r>
      <w:r>
        <w:t>, but showing very little proof of</w:t>
      </w:r>
      <w:r w:rsidR="00821F36">
        <w:t xml:space="preserve"> any significant increase</w:t>
      </w:r>
      <w:r>
        <w:t xml:space="preserve"> in response rates.  </w:t>
      </w:r>
    </w:p>
    <w:p w:rsidR="00141CFE" w:rsidRDefault="00141CFE" w:rsidP="00F24D58">
      <w:pPr>
        <w:pStyle w:val="BodyText"/>
        <w:jc w:val="both"/>
      </w:pPr>
    </w:p>
    <w:p w:rsidR="00922A82" w:rsidRDefault="00922A82" w:rsidP="00922A82">
      <w:pPr>
        <w:pStyle w:val="BodyText"/>
        <w:jc w:val="both"/>
      </w:pPr>
      <w:r w:rsidRPr="0008099F">
        <w:t xml:space="preserve">Given limited resources, should </w:t>
      </w:r>
      <w:r>
        <w:t>universities</w:t>
      </w:r>
      <w:r w:rsidRPr="0008099F">
        <w:t xml:space="preserve"> be spending time and money on awarding prizes, or on efforts that have proved to increase response rates, such as Dillman’s (2000) method of personalized, multiple contacts? </w:t>
      </w:r>
      <w:r w:rsidR="00B5189C">
        <w:t xml:space="preserve">(Porter and Whitcomb, </w:t>
      </w:r>
      <w:r w:rsidR="00B5189C" w:rsidRPr="00C11F94">
        <w:t>2004</w:t>
      </w:r>
      <w:r w:rsidR="00B5189C">
        <w:t>).</w:t>
      </w:r>
      <w:r w:rsidR="00821F36">
        <w:t xml:space="preserve"> </w:t>
      </w:r>
      <w:r>
        <w:t>Even though it has proven not effective, i</w:t>
      </w:r>
      <w:r w:rsidRPr="0008099F">
        <w:t>t</w:t>
      </w:r>
      <w:r>
        <w:t xml:space="preserve"> might be </w:t>
      </w:r>
      <w:r w:rsidRPr="0008099F">
        <w:t>tempting to offer large prizes in a survey, because to individuals unfamiliar with survey research methodology, it appears as if strong efforts have been made to increase response rates</w:t>
      </w:r>
      <w:r w:rsidR="00B5189C">
        <w:t xml:space="preserve"> (Coates, 2006)</w:t>
      </w:r>
      <w:r w:rsidRPr="0008099F">
        <w:t xml:space="preserve">. </w:t>
      </w:r>
      <w:r w:rsidR="00821F36">
        <w:t xml:space="preserve"> </w:t>
      </w:r>
      <w:r w:rsidRPr="0008099F">
        <w:t>A few large prizes may also be cheaper than including $1 or $2 prepayments with all surveys.</w:t>
      </w:r>
      <w:r w:rsidR="00821F36">
        <w:t xml:space="preserve"> </w:t>
      </w:r>
      <w:r w:rsidRPr="0008099F">
        <w:t xml:space="preserve"> Less salient efforts such as a second or third mailing or a personalized letter salutation may be less appealing </w:t>
      </w:r>
      <w:r w:rsidR="00821F36">
        <w:t xml:space="preserve">to researchers </w:t>
      </w:r>
      <w:r w:rsidRPr="0008099F">
        <w:t>but offer more certain benefits</w:t>
      </w:r>
      <w:r>
        <w:t xml:space="preserve"> (Porter and Whitcomb, </w:t>
      </w:r>
      <w:r w:rsidRPr="00C11F94">
        <w:t>2004</w:t>
      </w:r>
      <w:r>
        <w:t>).</w:t>
      </w:r>
    </w:p>
    <w:p w:rsidR="00D119D3" w:rsidRDefault="00D119D3" w:rsidP="00F24D58">
      <w:pPr>
        <w:pStyle w:val="IndentedBodyText"/>
        <w:jc w:val="both"/>
        <w:rPr>
          <w:b/>
        </w:rPr>
      </w:pPr>
    </w:p>
    <w:p w:rsidR="00F24D58" w:rsidRPr="00DC79B1" w:rsidRDefault="00F24D58" w:rsidP="00F24D58">
      <w:pPr>
        <w:pStyle w:val="IndentedBodyText"/>
        <w:jc w:val="both"/>
        <w:rPr>
          <w:b/>
        </w:rPr>
      </w:pPr>
      <w:r>
        <w:rPr>
          <w:b/>
        </w:rPr>
        <w:t xml:space="preserve">Table 1: </w:t>
      </w:r>
      <w:r w:rsidRPr="00DC79B1">
        <w:rPr>
          <w:b/>
        </w:rPr>
        <w:t>Summary of Literature Review</w:t>
      </w:r>
    </w:p>
    <w:tbl>
      <w:tblPr>
        <w:tblStyle w:val="TableGrid"/>
        <w:tblW w:w="8613" w:type="dxa"/>
        <w:tblLook w:val="04A0"/>
      </w:tblPr>
      <w:tblGrid>
        <w:gridCol w:w="2376"/>
        <w:gridCol w:w="1701"/>
        <w:gridCol w:w="2268"/>
        <w:gridCol w:w="2268"/>
      </w:tblGrid>
      <w:tr w:rsidR="00B5189C" w:rsidTr="00B5189C">
        <w:trPr>
          <w:trHeight w:val="391"/>
        </w:trPr>
        <w:tc>
          <w:tcPr>
            <w:tcW w:w="8613" w:type="dxa"/>
            <w:gridSpan w:val="4"/>
          </w:tcPr>
          <w:p w:rsidR="00B5189C" w:rsidRPr="00E51684" w:rsidRDefault="00B5189C" w:rsidP="00B5189C">
            <w:pPr>
              <w:pStyle w:val="BodyText"/>
              <w:jc w:val="both"/>
              <w:rPr>
                <w:b/>
              </w:rPr>
            </w:pPr>
            <w:r w:rsidRPr="00E51684">
              <w:rPr>
                <w:b/>
              </w:rPr>
              <w:t>Pre-paid Survey Rewards</w:t>
            </w:r>
          </w:p>
        </w:tc>
      </w:tr>
      <w:tr w:rsidR="00F24D58" w:rsidRPr="00DC79B1" w:rsidTr="00141CFE">
        <w:tc>
          <w:tcPr>
            <w:tcW w:w="2376" w:type="dxa"/>
          </w:tcPr>
          <w:p w:rsidR="00F24D58" w:rsidRPr="00DC79B1" w:rsidRDefault="00F24D58" w:rsidP="005644C2">
            <w:pPr>
              <w:pStyle w:val="BodyText"/>
              <w:jc w:val="both"/>
              <w:rPr>
                <w:b/>
              </w:rPr>
            </w:pPr>
            <w:r w:rsidRPr="00DC79B1">
              <w:rPr>
                <w:b/>
              </w:rPr>
              <w:t>Literature</w:t>
            </w:r>
          </w:p>
        </w:tc>
        <w:tc>
          <w:tcPr>
            <w:tcW w:w="1701" w:type="dxa"/>
          </w:tcPr>
          <w:p w:rsidR="00F24D58" w:rsidRPr="00DC79B1" w:rsidRDefault="00F24D58" w:rsidP="005644C2">
            <w:pPr>
              <w:pStyle w:val="BodyText"/>
              <w:jc w:val="both"/>
              <w:rPr>
                <w:b/>
              </w:rPr>
            </w:pPr>
            <w:r w:rsidRPr="00DC79B1">
              <w:rPr>
                <w:b/>
              </w:rPr>
              <w:t xml:space="preserve">Tested in student markets? </w:t>
            </w:r>
          </w:p>
        </w:tc>
        <w:tc>
          <w:tcPr>
            <w:tcW w:w="2268" w:type="dxa"/>
          </w:tcPr>
          <w:p w:rsidR="00F24D58" w:rsidRPr="00DC79B1" w:rsidRDefault="00F24D58" w:rsidP="005644C2">
            <w:pPr>
              <w:pStyle w:val="BodyText"/>
              <w:jc w:val="both"/>
              <w:rPr>
                <w:b/>
              </w:rPr>
            </w:pPr>
            <w:r w:rsidRPr="00DC79B1">
              <w:rPr>
                <w:b/>
              </w:rPr>
              <w:t>Advantages</w:t>
            </w:r>
          </w:p>
        </w:tc>
        <w:tc>
          <w:tcPr>
            <w:tcW w:w="2268" w:type="dxa"/>
          </w:tcPr>
          <w:p w:rsidR="00F24D58" w:rsidRPr="00DC79B1" w:rsidRDefault="00F24D58" w:rsidP="005644C2">
            <w:pPr>
              <w:pStyle w:val="BodyText"/>
              <w:jc w:val="both"/>
              <w:rPr>
                <w:b/>
              </w:rPr>
            </w:pPr>
            <w:r w:rsidRPr="00DC79B1">
              <w:rPr>
                <w:b/>
              </w:rPr>
              <w:t>Disadvantages</w:t>
            </w:r>
          </w:p>
        </w:tc>
      </w:tr>
      <w:tr w:rsidR="00F24D58" w:rsidTr="00141CFE">
        <w:tc>
          <w:tcPr>
            <w:tcW w:w="2376" w:type="dxa"/>
          </w:tcPr>
          <w:p w:rsidR="00F24D58" w:rsidRDefault="00F24D58" w:rsidP="005644C2">
            <w:pPr>
              <w:pStyle w:val="BodyText"/>
              <w:jc w:val="both"/>
            </w:pPr>
            <w:r w:rsidRPr="00DA75A7">
              <w:t>Zusman and Duby (1987)</w:t>
            </w:r>
            <w:r>
              <w:t xml:space="preserve"> $1 notes</w:t>
            </w:r>
          </w:p>
        </w:tc>
        <w:tc>
          <w:tcPr>
            <w:tcW w:w="1701" w:type="dxa"/>
          </w:tcPr>
          <w:p w:rsidR="00F24D58" w:rsidRDefault="00F24D58" w:rsidP="005644C2">
            <w:pPr>
              <w:pStyle w:val="BodyText"/>
              <w:jc w:val="both"/>
            </w:pPr>
            <w:r>
              <w:t xml:space="preserve">Post secondary students </w:t>
            </w:r>
          </w:p>
        </w:tc>
        <w:tc>
          <w:tcPr>
            <w:tcW w:w="2268" w:type="dxa"/>
          </w:tcPr>
          <w:p w:rsidR="00F24D58" w:rsidRDefault="00F24D58" w:rsidP="005644C2">
            <w:pPr>
              <w:pStyle w:val="BodyText"/>
              <w:jc w:val="both"/>
            </w:pPr>
            <w:r>
              <w:t>Increased responses with almost 19%</w:t>
            </w:r>
          </w:p>
        </w:tc>
        <w:tc>
          <w:tcPr>
            <w:tcW w:w="2268" w:type="dxa"/>
          </w:tcPr>
          <w:p w:rsidR="00F24D58" w:rsidRDefault="00F24D58" w:rsidP="005644C2">
            <w:pPr>
              <w:pStyle w:val="BodyText"/>
              <w:jc w:val="both"/>
            </w:pPr>
            <w:r>
              <w:t>Difficult, costly and impractical to administer in large surveys like AGS</w:t>
            </w:r>
          </w:p>
        </w:tc>
      </w:tr>
      <w:tr w:rsidR="00F24D58" w:rsidTr="00B5189C">
        <w:tc>
          <w:tcPr>
            <w:tcW w:w="2376" w:type="dxa"/>
            <w:tcBorders>
              <w:bottom w:val="single" w:sz="4" w:space="0" w:color="000000" w:themeColor="text1"/>
            </w:tcBorders>
          </w:tcPr>
          <w:p w:rsidR="00F24D58" w:rsidRDefault="00F24D58" w:rsidP="005644C2">
            <w:pPr>
              <w:pStyle w:val="BodyText"/>
              <w:jc w:val="both"/>
            </w:pPr>
            <w:r>
              <w:t>Church (1993)</w:t>
            </w:r>
            <w:r w:rsidRPr="00C1231D">
              <w:t xml:space="preserve"> used meta-analysis </w:t>
            </w:r>
            <w:r>
              <w:t>using non-monetary incentives</w:t>
            </w:r>
          </w:p>
        </w:tc>
        <w:tc>
          <w:tcPr>
            <w:tcW w:w="1701" w:type="dxa"/>
            <w:tcBorders>
              <w:bottom w:val="single" w:sz="4" w:space="0" w:color="000000" w:themeColor="text1"/>
            </w:tcBorders>
          </w:tcPr>
          <w:p w:rsidR="00F24D58" w:rsidRDefault="00F24D58" w:rsidP="005644C2">
            <w:pPr>
              <w:pStyle w:val="BodyText"/>
              <w:jc w:val="both"/>
            </w:pPr>
            <w:r>
              <w:t xml:space="preserve">Results from Public survey </w:t>
            </w:r>
          </w:p>
        </w:tc>
        <w:tc>
          <w:tcPr>
            <w:tcW w:w="2268" w:type="dxa"/>
            <w:tcBorders>
              <w:bottom w:val="single" w:sz="4" w:space="0" w:color="000000" w:themeColor="text1"/>
            </w:tcBorders>
          </w:tcPr>
          <w:p w:rsidR="00F24D58" w:rsidRDefault="00F24D58" w:rsidP="005644C2">
            <w:pPr>
              <w:pStyle w:val="BodyText"/>
              <w:jc w:val="both"/>
            </w:pPr>
            <w:r>
              <w:t>T</w:t>
            </w:r>
            <w:r w:rsidRPr="00C1231D">
              <w:t>he overall effect of non</w:t>
            </w:r>
            <w:r>
              <w:t>-monetary incentives was 7.9%</w:t>
            </w:r>
          </w:p>
        </w:tc>
        <w:tc>
          <w:tcPr>
            <w:tcW w:w="2268" w:type="dxa"/>
            <w:tcBorders>
              <w:bottom w:val="single" w:sz="4" w:space="0" w:color="000000" w:themeColor="text1"/>
            </w:tcBorders>
          </w:tcPr>
          <w:p w:rsidR="00F24D58" w:rsidRDefault="00F24D58" w:rsidP="005644C2">
            <w:pPr>
              <w:pStyle w:val="BodyText"/>
              <w:jc w:val="both"/>
            </w:pPr>
            <w:r>
              <w:t>Difficult, costly and impractical to administer in large surveys like AGS</w:t>
            </w:r>
          </w:p>
        </w:tc>
      </w:tr>
      <w:tr w:rsidR="00F24D58" w:rsidTr="00B5189C">
        <w:tc>
          <w:tcPr>
            <w:tcW w:w="2376" w:type="dxa"/>
            <w:tcBorders>
              <w:bottom w:val="single" w:sz="4" w:space="0" w:color="auto"/>
            </w:tcBorders>
          </w:tcPr>
          <w:p w:rsidR="00F24D58" w:rsidRDefault="00F24D58" w:rsidP="005644C2">
            <w:pPr>
              <w:pStyle w:val="BodyText"/>
              <w:jc w:val="both"/>
            </w:pPr>
            <w:r w:rsidRPr="00DA75A7">
              <w:t>$5</w:t>
            </w:r>
            <w:r>
              <w:t>-$20</w:t>
            </w:r>
            <w:r w:rsidRPr="00DA75A7">
              <w:t xml:space="preserve"> </w:t>
            </w:r>
            <w:r>
              <w:t>pre-</w:t>
            </w:r>
            <w:r w:rsidRPr="00DA75A7">
              <w:t>payments (for example, Singer, van Hoewyk, and Maher, 2000) or $10 payments (such as Warriner and others, 1996)</w:t>
            </w:r>
          </w:p>
        </w:tc>
        <w:tc>
          <w:tcPr>
            <w:tcW w:w="1701" w:type="dxa"/>
            <w:tcBorders>
              <w:bottom w:val="single" w:sz="4" w:space="0" w:color="auto"/>
            </w:tcBorders>
          </w:tcPr>
          <w:p w:rsidR="00F24D58" w:rsidRDefault="00F24D58" w:rsidP="005644C2">
            <w:pPr>
              <w:pStyle w:val="BodyText"/>
              <w:jc w:val="both"/>
            </w:pPr>
            <w:r>
              <w:t>Results from Public survey</w:t>
            </w:r>
          </w:p>
        </w:tc>
        <w:tc>
          <w:tcPr>
            <w:tcW w:w="2268" w:type="dxa"/>
            <w:tcBorders>
              <w:bottom w:val="single" w:sz="4" w:space="0" w:color="auto"/>
            </w:tcBorders>
          </w:tcPr>
          <w:p w:rsidR="00F24D58" w:rsidRDefault="00F24D58" w:rsidP="005644C2">
            <w:pPr>
              <w:pStyle w:val="BodyText"/>
              <w:jc w:val="both"/>
            </w:pPr>
            <w:r>
              <w:t>Increase responses with 10 percentage points (in conjunction with an advanced letter)</w:t>
            </w:r>
          </w:p>
        </w:tc>
        <w:tc>
          <w:tcPr>
            <w:tcW w:w="2268" w:type="dxa"/>
            <w:tcBorders>
              <w:bottom w:val="single" w:sz="4" w:space="0" w:color="auto"/>
            </w:tcBorders>
          </w:tcPr>
          <w:p w:rsidR="00F24D58" w:rsidRDefault="00F24D58" w:rsidP="005644C2">
            <w:pPr>
              <w:pStyle w:val="BodyText"/>
              <w:jc w:val="both"/>
            </w:pPr>
            <w:r>
              <w:t>Difficult, costly and impractical to administer in large surveys like AGS</w:t>
            </w:r>
          </w:p>
        </w:tc>
      </w:tr>
      <w:tr w:rsidR="00B5189C" w:rsidRPr="00DC79B1" w:rsidTr="00B5189C">
        <w:tc>
          <w:tcPr>
            <w:tcW w:w="2376" w:type="dxa"/>
            <w:tcBorders>
              <w:top w:val="single" w:sz="4" w:space="0" w:color="auto"/>
              <w:left w:val="nil"/>
              <w:bottom w:val="single" w:sz="4" w:space="0" w:color="auto"/>
              <w:right w:val="nil"/>
            </w:tcBorders>
          </w:tcPr>
          <w:p w:rsidR="00B5189C" w:rsidRPr="00DC79B1" w:rsidRDefault="00B5189C" w:rsidP="005644C2">
            <w:pPr>
              <w:pStyle w:val="BodyText"/>
              <w:jc w:val="both"/>
              <w:rPr>
                <w:b/>
              </w:rPr>
            </w:pPr>
          </w:p>
        </w:tc>
        <w:tc>
          <w:tcPr>
            <w:tcW w:w="1701" w:type="dxa"/>
            <w:tcBorders>
              <w:top w:val="single" w:sz="4" w:space="0" w:color="auto"/>
              <w:left w:val="nil"/>
              <w:bottom w:val="single" w:sz="4" w:space="0" w:color="auto"/>
              <w:right w:val="nil"/>
            </w:tcBorders>
          </w:tcPr>
          <w:p w:rsidR="00B5189C" w:rsidRPr="00DC79B1" w:rsidRDefault="00B5189C" w:rsidP="005644C2">
            <w:pPr>
              <w:pStyle w:val="BodyText"/>
              <w:jc w:val="both"/>
              <w:rPr>
                <w:b/>
              </w:rPr>
            </w:pPr>
          </w:p>
        </w:tc>
        <w:tc>
          <w:tcPr>
            <w:tcW w:w="2268" w:type="dxa"/>
            <w:tcBorders>
              <w:top w:val="single" w:sz="4" w:space="0" w:color="auto"/>
              <w:left w:val="nil"/>
              <w:bottom w:val="single" w:sz="4" w:space="0" w:color="auto"/>
              <w:right w:val="nil"/>
            </w:tcBorders>
          </w:tcPr>
          <w:p w:rsidR="00B5189C" w:rsidRPr="00DC79B1" w:rsidRDefault="00B5189C" w:rsidP="005644C2">
            <w:pPr>
              <w:pStyle w:val="BodyText"/>
              <w:jc w:val="both"/>
              <w:rPr>
                <w:b/>
              </w:rPr>
            </w:pPr>
          </w:p>
        </w:tc>
        <w:tc>
          <w:tcPr>
            <w:tcW w:w="2268" w:type="dxa"/>
            <w:tcBorders>
              <w:top w:val="single" w:sz="4" w:space="0" w:color="auto"/>
              <w:left w:val="nil"/>
              <w:bottom w:val="single" w:sz="4" w:space="0" w:color="auto"/>
              <w:right w:val="nil"/>
            </w:tcBorders>
          </w:tcPr>
          <w:p w:rsidR="00B5189C" w:rsidRPr="00DC79B1" w:rsidRDefault="00B5189C" w:rsidP="005644C2">
            <w:pPr>
              <w:pStyle w:val="BodyText"/>
              <w:jc w:val="both"/>
              <w:rPr>
                <w:b/>
              </w:rPr>
            </w:pPr>
          </w:p>
        </w:tc>
      </w:tr>
      <w:tr w:rsidR="00B5189C" w:rsidRPr="00E51684" w:rsidTr="00B5189C">
        <w:tc>
          <w:tcPr>
            <w:tcW w:w="8613" w:type="dxa"/>
            <w:gridSpan w:val="4"/>
          </w:tcPr>
          <w:p w:rsidR="00B5189C" w:rsidRPr="00E51684" w:rsidRDefault="00B5189C" w:rsidP="00B5189C">
            <w:pPr>
              <w:pStyle w:val="BodyText"/>
              <w:jc w:val="both"/>
              <w:rPr>
                <w:b/>
              </w:rPr>
            </w:pPr>
            <w:r w:rsidRPr="00E51684">
              <w:rPr>
                <w:b/>
              </w:rPr>
              <w:t>P</w:t>
            </w:r>
            <w:r>
              <w:rPr>
                <w:b/>
              </w:rPr>
              <w:t>ost-</w:t>
            </w:r>
            <w:r w:rsidRPr="00E51684">
              <w:rPr>
                <w:b/>
              </w:rPr>
              <w:t xml:space="preserve">paid </w:t>
            </w:r>
            <w:r>
              <w:rPr>
                <w:b/>
              </w:rPr>
              <w:t>I</w:t>
            </w:r>
            <w:r w:rsidRPr="00E51684">
              <w:rPr>
                <w:b/>
              </w:rPr>
              <w:t xml:space="preserve">ncentive </w:t>
            </w:r>
            <w:r>
              <w:rPr>
                <w:b/>
              </w:rPr>
              <w:t>R</w:t>
            </w:r>
            <w:r w:rsidRPr="00E51684">
              <w:rPr>
                <w:b/>
              </w:rPr>
              <w:t xml:space="preserve">ewards </w:t>
            </w:r>
          </w:p>
        </w:tc>
      </w:tr>
      <w:tr w:rsidR="00F24D58" w:rsidRPr="00DC79B1" w:rsidTr="00B5189C">
        <w:tc>
          <w:tcPr>
            <w:tcW w:w="2376" w:type="dxa"/>
            <w:tcBorders>
              <w:top w:val="single" w:sz="4" w:space="0" w:color="auto"/>
            </w:tcBorders>
          </w:tcPr>
          <w:p w:rsidR="00F24D58" w:rsidRPr="00DC79B1" w:rsidRDefault="00F24D58" w:rsidP="005644C2">
            <w:pPr>
              <w:pStyle w:val="BodyText"/>
              <w:jc w:val="both"/>
              <w:rPr>
                <w:b/>
              </w:rPr>
            </w:pPr>
            <w:r w:rsidRPr="00DC79B1">
              <w:rPr>
                <w:b/>
              </w:rPr>
              <w:t>Literature</w:t>
            </w:r>
          </w:p>
        </w:tc>
        <w:tc>
          <w:tcPr>
            <w:tcW w:w="1701" w:type="dxa"/>
            <w:tcBorders>
              <w:top w:val="single" w:sz="4" w:space="0" w:color="auto"/>
            </w:tcBorders>
          </w:tcPr>
          <w:p w:rsidR="00F24D58" w:rsidRPr="00DC79B1" w:rsidRDefault="00F24D58" w:rsidP="005644C2">
            <w:pPr>
              <w:pStyle w:val="BodyText"/>
              <w:jc w:val="both"/>
              <w:rPr>
                <w:b/>
              </w:rPr>
            </w:pPr>
            <w:r w:rsidRPr="00DC79B1">
              <w:rPr>
                <w:b/>
              </w:rPr>
              <w:t xml:space="preserve">Tested in student markets? </w:t>
            </w:r>
          </w:p>
        </w:tc>
        <w:tc>
          <w:tcPr>
            <w:tcW w:w="2268" w:type="dxa"/>
            <w:tcBorders>
              <w:top w:val="single" w:sz="4" w:space="0" w:color="auto"/>
            </w:tcBorders>
          </w:tcPr>
          <w:p w:rsidR="00F24D58" w:rsidRPr="00DC79B1" w:rsidRDefault="00F24D58" w:rsidP="005644C2">
            <w:pPr>
              <w:pStyle w:val="BodyText"/>
              <w:jc w:val="both"/>
              <w:rPr>
                <w:b/>
              </w:rPr>
            </w:pPr>
            <w:r w:rsidRPr="00DC79B1">
              <w:rPr>
                <w:b/>
              </w:rPr>
              <w:t>Advantages</w:t>
            </w:r>
          </w:p>
        </w:tc>
        <w:tc>
          <w:tcPr>
            <w:tcW w:w="2268" w:type="dxa"/>
            <w:tcBorders>
              <w:top w:val="single" w:sz="4" w:space="0" w:color="auto"/>
            </w:tcBorders>
          </w:tcPr>
          <w:p w:rsidR="00F24D58" w:rsidRPr="00DC79B1" w:rsidRDefault="00F24D58" w:rsidP="005644C2">
            <w:pPr>
              <w:pStyle w:val="BodyText"/>
              <w:jc w:val="both"/>
              <w:rPr>
                <w:b/>
              </w:rPr>
            </w:pPr>
            <w:r w:rsidRPr="00DC79B1">
              <w:rPr>
                <w:b/>
              </w:rPr>
              <w:t>Disadvantages</w:t>
            </w:r>
          </w:p>
        </w:tc>
      </w:tr>
      <w:tr w:rsidR="00F24D58" w:rsidTr="00141CFE">
        <w:tc>
          <w:tcPr>
            <w:tcW w:w="2376" w:type="dxa"/>
          </w:tcPr>
          <w:p w:rsidR="00F24D58" w:rsidRDefault="00F24D58" w:rsidP="005644C2">
            <w:pPr>
              <w:pStyle w:val="BodyText"/>
              <w:jc w:val="both"/>
            </w:pPr>
            <w:r>
              <w:t>Prize draw (single)</w:t>
            </w:r>
          </w:p>
          <w:p w:rsidR="00F24D58" w:rsidRDefault="00F24D58" w:rsidP="005644C2">
            <w:pPr>
              <w:pStyle w:val="BodyText"/>
              <w:jc w:val="both"/>
            </w:pPr>
            <w:r w:rsidRPr="00C11F94">
              <w:t xml:space="preserve">Porter and Whitcomb </w:t>
            </w:r>
            <w:r>
              <w:t>(</w:t>
            </w:r>
            <w:r w:rsidRPr="00C11F94">
              <w:t>2004</w:t>
            </w:r>
            <w:r>
              <w:t>)</w:t>
            </w:r>
            <w:r w:rsidRPr="00C11F94">
              <w:t xml:space="preserve"> showed a small difference between the response rates of the control group (14%) and incentive groups (15.6%).</w:t>
            </w:r>
          </w:p>
        </w:tc>
        <w:tc>
          <w:tcPr>
            <w:tcW w:w="1701" w:type="dxa"/>
          </w:tcPr>
          <w:p w:rsidR="00F24D58" w:rsidRDefault="00F24D58" w:rsidP="005644C2">
            <w:pPr>
              <w:pStyle w:val="BodyText"/>
              <w:jc w:val="both"/>
            </w:pPr>
            <w:r w:rsidRPr="00C11F94">
              <w:t xml:space="preserve">Porter and Whitcomb </w:t>
            </w:r>
            <w:r>
              <w:t>(</w:t>
            </w:r>
            <w:r w:rsidRPr="00C11F94">
              <w:t>2004</w:t>
            </w:r>
            <w:r>
              <w:t>)</w:t>
            </w:r>
          </w:p>
        </w:tc>
        <w:tc>
          <w:tcPr>
            <w:tcW w:w="2268" w:type="dxa"/>
          </w:tcPr>
          <w:p w:rsidR="00F24D58" w:rsidRDefault="00F24D58" w:rsidP="005644C2">
            <w:pPr>
              <w:pStyle w:val="BodyText"/>
              <w:jc w:val="both"/>
            </w:pPr>
            <w:r>
              <w:t xml:space="preserve">Easy and cheaper to administer. </w:t>
            </w:r>
          </w:p>
        </w:tc>
        <w:tc>
          <w:tcPr>
            <w:tcW w:w="2268" w:type="dxa"/>
          </w:tcPr>
          <w:p w:rsidR="00F24D58" w:rsidRDefault="00F24D58" w:rsidP="006E583B">
            <w:pPr>
              <w:pStyle w:val="BodyText"/>
              <w:jc w:val="both"/>
            </w:pPr>
            <w:r>
              <w:t xml:space="preserve">Research results on this method show </w:t>
            </w:r>
            <w:r w:rsidR="006E583B">
              <w:t xml:space="preserve">a </w:t>
            </w:r>
            <w:r>
              <w:t xml:space="preserve">difference </w:t>
            </w:r>
            <w:r w:rsidR="006E583B">
              <w:t xml:space="preserve">of 2 percentage points </w:t>
            </w:r>
            <w:r>
              <w:t xml:space="preserve">between the control group and incentive group.  It is not </w:t>
            </w:r>
            <w:r w:rsidR="006E583B">
              <w:t xml:space="preserve">considered </w:t>
            </w:r>
            <w:r>
              <w:t xml:space="preserve">effective to improve response rates. </w:t>
            </w:r>
          </w:p>
        </w:tc>
      </w:tr>
      <w:tr w:rsidR="00F24D58" w:rsidTr="00141CFE">
        <w:tc>
          <w:tcPr>
            <w:tcW w:w="2376" w:type="dxa"/>
          </w:tcPr>
          <w:p w:rsidR="00F24D58" w:rsidRDefault="00F24D58" w:rsidP="005644C2">
            <w:pPr>
              <w:pStyle w:val="BodyText"/>
              <w:jc w:val="both"/>
            </w:pPr>
            <w:r>
              <w:t>Prize draw (multiple)</w:t>
            </w:r>
          </w:p>
          <w:p w:rsidR="00F24D58" w:rsidRDefault="00F24D58" w:rsidP="00BB00A5">
            <w:pPr>
              <w:pStyle w:val="BodyText"/>
              <w:jc w:val="both"/>
            </w:pPr>
            <w:r>
              <w:t xml:space="preserve">The SES conducted by GCA in </w:t>
            </w:r>
            <w:r w:rsidR="00BB00A5">
              <w:t>2005</w:t>
            </w:r>
            <w:r>
              <w:t xml:space="preserve"> (Coates, 200</w:t>
            </w:r>
            <w:r w:rsidR="00BB00A5">
              <w:t>6</w:t>
            </w:r>
            <w:r>
              <w:t xml:space="preserve">) – 60% of students indicated that a reward motivates them to complete the AGS. </w:t>
            </w:r>
          </w:p>
        </w:tc>
        <w:tc>
          <w:tcPr>
            <w:tcW w:w="1701" w:type="dxa"/>
          </w:tcPr>
          <w:p w:rsidR="00F24D58" w:rsidRDefault="00F24D58" w:rsidP="005644C2">
            <w:pPr>
              <w:pStyle w:val="BodyText"/>
              <w:jc w:val="both"/>
            </w:pPr>
            <w:r>
              <w:t xml:space="preserve">Not aware of available research on multiple rewards (prize draw) </w:t>
            </w:r>
          </w:p>
        </w:tc>
        <w:tc>
          <w:tcPr>
            <w:tcW w:w="2268" w:type="dxa"/>
          </w:tcPr>
          <w:p w:rsidR="00F24D58" w:rsidRDefault="00F24D58" w:rsidP="005644C2">
            <w:pPr>
              <w:pStyle w:val="BodyText"/>
              <w:jc w:val="both"/>
            </w:pPr>
            <w:r>
              <w:t xml:space="preserve">Easy and cheaper to administer. </w:t>
            </w:r>
          </w:p>
        </w:tc>
        <w:tc>
          <w:tcPr>
            <w:tcW w:w="2268" w:type="dxa"/>
          </w:tcPr>
          <w:p w:rsidR="00F24D58" w:rsidRDefault="00F24D58" w:rsidP="005644C2">
            <w:pPr>
              <w:pStyle w:val="BodyText"/>
              <w:jc w:val="both"/>
            </w:pPr>
            <w:r>
              <w:t xml:space="preserve">No scientific proof for the use of this method. </w:t>
            </w:r>
          </w:p>
          <w:p w:rsidR="00F24D58" w:rsidRDefault="00F24D58" w:rsidP="005644C2">
            <w:pPr>
              <w:pStyle w:val="BodyText"/>
              <w:jc w:val="both"/>
            </w:pPr>
            <w:r>
              <w:t xml:space="preserve">Universities that are currently using this incentive method (UniSyd &amp; ECU) are not achieving desired results other than early return.  </w:t>
            </w:r>
          </w:p>
        </w:tc>
      </w:tr>
    </w:tbl>
    <w:p w:rsidR="00F24D58" w:rsidRPr="0024222C" w:rsidRDefault="00F24D58" w:rsidP="00C20D76">
      <w:pPr>
        <w:pStyle w:val="BodyText"/>
        <w:jc w:val="both"/>
      </w:pPr>
      <w:r>
        <w:t xml:space="preserve">Lottery incentives might be appropriate for institutions that are achieving response rates </w:t>
      </w:r>
      <w:r w:rsidR="006E583B">
        <w:t>of 50</w:t>
      </w:r>
      <w:r w:rsidR="00B5189C">
        <w:t xml:space="preserve"> percent</w:t>
      </w:r>
      <w:r w:rsidR="006E583B">
        <w:t xml:space="preserve"> or higher</w:t>
      </w:r>
      <w:r w:rsidR="00821F36">
        <w:t>, b</w:t>
      </w:r>
      <w:r>
        <w:t>ut not sufficient for those who require a significant improvement in their GDS and CEQ</w:t>
      </w:r>
      <w:r w:rsidR="00821F36" w:rsidRPr="00821F36">
        <w:t xml:space="preserve"> </w:t>
      </w:r>
      <w:r w:rsidR="00821F36">
        <w:t>response</w:t>
      </w:r>
      <w:r>
        <w:t xml:space="preserve"> rates.  These institutions might have to review their processes and align</w:t>
      </w:r>
      <w:r w:rsidR="00E74A77">
        <w:t xml:space="preserve"> with recommended GCA practices (</w:t>
      </w:r>
      <w:r w:rsidR="00B5189C">
        <w:t>GCA, 2008</w:t>
      </w:r>
      <w:r w:rsidR="00E74A77">
        <w:t>)</w:t>
      </w:r>
      <w:r>
        <w:t xml:space="preserve"> </w:t>
      </w:r>
      <w:r w:rsidR="00E74A77">
        <w:t xml:space="preserve">or review approaches such as those documented by </w:t>
      </w:r>
      <w:r>
        <w:t>Dillman</w:t>
      </w:r>
      <w:r w:rsidR="00B5189C">
        <w:t xml:space="preserve"> (2000)</w:t>
      </w:r>
      <w:r w:rsidR="00E74A77">
        <w:t xml:space="preserve"> (</w:t>
      </w:r>
      <w:r w:rsidR="00E74A77" w:rsidRPr="00B5189C">
        <w:rPr>
          <w:b/>
        </w:rPr>
        <w:t>Table 2</w:t>
      </w:r>
      <w:r w:rsidR="00E74A77">
        <w:t>)</w:t>
      </w:r>
      <w:r>
        <w:t xml:space="preserve"> to get them over the 50</w:t>
      </w:r>
      <w:r w:rsidR="00B5189C">
        <w:t xml:space="preserve"> percent</w:t>
      </w:r>
      <w:r>
        <w:t xml:space="preserve"> line.  </w:t>
      </w:r>
    </w:p>
    <w:p w:rsidR="00FD60EE" w:rsidRDefault="00697BBB" w:rsidP="00C20D76">
      <w:pPr>
        <w:pStyle w:val="BodyText"/>
        <w:jc w:val="both"/>
      </w:pPr>
      <w:r>
        <w:t xml:space="preserve">The methods described by Dillman (2000) to improve survey response in conjunction with small post-survey incentives seem to be the most effective in achieving a good outcome (see </w:t>
      </w:r>
      <w:r w:rsidRPr="00821F36">
        <w:rPr>
          <w:b/>
        </w:rPr>
        <w:t>Table 1</w:t>
      </w:r>
      <w:r>
        <w:t>).   However, the</w:t>
      </w:r>
      <w:r w:rsidR="00821F36">
        <w:t xml:space="preserve"> emphasis is on a holistic approach and not incentives.   The</w:t>
      </w:r>
      <w:r>
        <w:t xml:space="preserve">se procedures could impose demands on resources (financial, human </w:t>
      </w:r>
      <w:r w:rsidR="00A23BE6">
        <w:t>and</w:t>
      </w:r>
      <w:r>
        <w:t xml:space="preserve"> technical) </w:t>
      </w:r>
      <w:r w:rsidR="00D11765">
        <w:t xml:space="preserve">which could be problematic for some universities. </w:t>
      </w:r>
      <w:r w:rsidR="0048576B">
        <w:t xml:space="preserve"> </w:t>
      </w:r>
    </w:p>
    <w:p w:rsidR="00E12431" w:rsidRPr="00F24D58" w:rsidRDefault="00F24D58" w:rsidP="00E12431">
      <w:pPr>
        <w:pStyle w:val="IndentedBodyText"/>
        <w:jc w:val="both"/>
        <w:rPr>
          <w:b/>
        </w:rPr>
      </w:pPr>
      <w:r w:rsidRPr="00F24D58">
        <w:rPr>
          <w:b/>
        </w:rPr>
        <w:t>Table 2</w:t>
      </w:r>
      <w:r w:rsidR="00697BBB" w:rsidRPr="00F24D58">
        <w:rPr>
          <w:b/>
        </w:rPr>
        <w:t>: Dillman Methods to Improve Survey Response (Dillman, 2000)</w:t>
      </w:r>
    </w:p>
    <w:tbl>
      <w:tblPr>
        <w:tblW w:w="7655" w:type="dxa"/>
        <w:tblInd w:w="-27"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000"/>
      </w:tblPr>
      <w:tblGrid>
        <w:gridCol w:w="3828"/>
        <w:gridCol w:w="3827"/>
      </w:tblGrid>
      <w:tr w:rsidR="00E12431" w:rsidRPr="00C0793D" w:rsidTr="00D11765">
        <w:trPr>
          <w:trHeight w:val="300"/>
        </w:trPr>
        <w:tc>
          <w:tcPr>
            <w:tcW w:w="3828" w:type="dxa"/>
            <w:shd w:val="pct20" w:color="auto" w:fill="auto"/>
            <w:vAlign w:val="center"/>
          </w:tcPr>
          <w:p w:rsidR="00E12431" w:rsidRPr="00C0793D" w:rsidRDefault="00697BBB" w:rsidP="005644C2">
            <w:pPr>
              <w:pStyle w:val="TableTextBold"/>
              <w:jc w:val="both"/>
            </w:pPr>
            <w:r>
              <w:t>Steps to</w:t>
            </w:r>
            <w:r w:rsidR="00E12431">
              <w:t xml:space="preserve"> Improve Survey Response </w:t>
            </w:r>
          </w:p>
        </w:tc>
        <w:tc>
          <w:tcPr>
            <w:tcW w:w="3827" w:type="dxa"/>
            <w:shd w:val="pct20" w:color="auto" w:fill="auto"/>
            <w:vAlign w:val="center"/>
          </w:tcPr>
          <w:p w:rsidR="00E12431" w:rsidRPr="00C0793D" w:rsidRDefault="00E12431" w:rsidP="00520A01">
            <w:pPr>
              <w:pStyle w:val="TableTextBold"/>
              <w:jc w:val="both"/>
            </w:pPr>
            <w:r>
              <w:t xml:space="preserve">References and Results </w:t>
            </w:r>
            <w:r w:rsidR="00520A01">
              <w:t>(percentage points)</w:t>
            </w:r>
            <w:r>
              <w:t xml:space="preserve"> </w:t>
            </w:r>
          </w:p>
        </w:tc>
      </w:tr>
      <w:tr w:rsidR="00E12431" w:rsidRPr="00C1231D" w:rsidTr="00D11765">
        <w:trPr>
          <w:trHeight w:val="300"/>
        </w:trPr>
        <w:tc>
          <w:tcPr>
            <w:tcW w:w="3828" w:type="dxa"/>
            <w:shd w:val="clear" w:color="auto" w:fill="F2F2F2" w:themeFill="background1" w:themeFillShade="F2"/>
          </w:tcPr>
          <w:p w:rsidR="00E12431" w:rsidRPr="00697BBB" w:rsidRDefault="00E12431" w:rsidP="005644C2">
            <w:pPr>
              <w:pStyle w:val="TableText"/>
              <w:jc w:val="both"/>
              <w:rPr>
                <w:b/>
                <w:bCs/>
              </w:rPr>
            </w:pPr>
            <w:r w:rsidRPr="00697BBB">
              <w:rPr>
                <w:b/>
                <w:bCs/>
              </w:rPr>
              <w:t>Pre-notify</w:t>
            </w:r>
          </w:p>
          <w:p w:rsidR="00E12431" w:rsidRPr="00C1231D" w:rsidRDefault="00E12431" w:rsidP="005644C2">
            <w:pPr>
              <w:pStyle w:val="TableText"/>
              <w:jc w:val="both"/>
            </w:pPr>
          </w:p>
        </w:tc>
        <w:tc>
          <w:tcPr>
            <w:tcW w:w="3827" w:type="dxa"/>
            <w:shd w:val="clear" w:color="auto" w:fill="F2F2F2" w:themeFill="background1" w:themeFillShade="F2"/>
          </w:tcPr>
          <w:p w:rsidR="00E12431" w:rsidRPr="00C1231D" w:rsidRDefault="00E12431" w:rsidP="005644C2">
            <w:pPr>
              <w:pStyle w:val="TableText"/>
              <w:jc w:val="both"/>
            </w:pPr>
            <w:r w:rsidRPr="00C1231D">
              <w:t>Pre-notification:</w:t>
            </w:r>
            <w:r w:rsidR="00D11765">
              <w:t xml:space="preserve"> </w:t>
            </w:r>
            <w:r w:rsidRPr="00C1231D">
              <w:t>10% (meta-analysis;</w:t>
            </w:r>
            <w:r w:rsidR="00D11765">
              <w:t xml:space="preserve"> </w:t>
            </w:r>
            <w:r w:rsidRPr="00C1231D">
              <w:t>Hutchinson, 1996)</w:t>
            </w:r>
          </w:p>
          <w:p w:rsidR="00E12431" w:rsidRPr="00C1231D" w:rsidRDefault="00E12431" w:rsidP="005644C2">
            <w:pPr>
              <w:pStyle w:val="TableText"/>
              <w:jc w:val="both"/>
            </w:pPr>
          </w:p>
        </w:tc>
      </w:tr>
      <w:tr w:rsidR="00E12431" w:rsidTr="00D11765">
        <w:trPr>
          <w:trHeight w:val="300"/>
        </w:trPr>
        <w:tc>
          <w:tcPr>
            <w:tcW w:w="3828" w:type="dxa"/>
            <w:shd w:val="clear" w:color="auto" w:fill="F2F2F2" w:themeFill="background1" w:themeFillShade="F2"/>
          </w:tcPr>
          <w:p w:rsidR="00E12431" w:rsidRDefault="00E12431" w:rsidP="005644C2">
            <w:pPr>
              <w:pStyle w:val="TableText"/>
              <w:jc w:val="both"/>
              <w:rPr>
                <w:b/>
                <w:bCs/>
              </w:rPr>
            </w:pPr>
            <w:r w:rsidRPr="00C1231D">
              <w:rPr>
                <w:b/>
                <w:bCs/>
              </w:rPr>
              <w:t>Second contact</w:t>
            </w:r>
            <w:r w:rsidR="00D40537">
              <w:rPr>
                <w:b/>
                <w:bCs/>
              </w:rPr>
              <w:t xml:space="preserve"> &amp; Incentive</w:t>
            </w:r>
            <w:r w:rsidRPr="00C1231D">
              <w:rPr>
                <w:b/>
                <w:bCs/>
              </w:rPr>
              <w:t xml:space="preserve"> </w:t>
            </w:r>
            <w:r w:rsidRPr="00C1231D">
              <w:t>(Dillman, 2000)</w:t>
            </w:r>
            <w:r w:rsidRPr="00C1231D">
              <w:rPr>
                <w:b/>
                <w:bCs/>
              </w:rPr>
              <w:t>.</w:t>
            </w:r>
          </w:p>
          <w:p w:rsidR="00D40537" w:rsidRPr="00C1231D" w:rsidRDefault="00D40537" w:rsidP="005644C2">
            <w:pPr>
              <w:pStyle w:val="TableText"/>
              <w:jc w:val="both"/>
              <w:rPr>
                <w:b/>
                <w:bCs/>
              </w:rPr>
            </w:pPr>
          </w:p>
          <w:p w:rsidR="00E12431" w:rsidRDefault="00E12431" w:rsidP="005644C2">
            <w:pPr>
              <w:pStyle w:val="TableText"/>
              <w:jc w:val="both"/>
            </w:pPr>
          </w:p>
          <w:p w:rsidR="00E12431" w:rsidRDefault="00E12431" w:rsidP="005644C2">
            <w:pPr>
              <w:pStyle w:val="TableText"/>
              <w:jc w:val="both"/>
            </w:pPr>
          </w:p>
        </w:tc>
        <w:tc>
          <w:tcPr>
            <w:tcW w:w="3827" w:type="dxa"/>
            <w:shd w:val="clear" w:color="auto" w:fill="F2F2F2" w:themeFill="background1" w:themeFillShade="F2"/>
          </w:tcPr>
          <w:p w:rsidR="00520A01" w:rsidRDefault="00E12431" w:rsidP="00520A01">
            <w:pPr>
              <w:pStyle w:val="TableText"/>
              <w:jc w:val="both"/>
            </w:pPr>
            <w:r w:rsidRPr="00C1231D">
              <w:t>Personalisation: 4</w:t>
            </w:r>
            <w:r w:rsidR="00520A01">
              <w:t>-6</w:t>
            </w:r>
            <w:r w:rsidRPr="00C1231D">
              <w:t>% (meta-analysis; Green &amp; Hutchinson,</w:t>
            </w:r>
            <w:r w:rsidR="00D40537">
              <w:t xml:space="preserve"> </w:t>
            </w:r>
            <w:r w:rsidRPr="00C1231D">
              <w:t>1996) pen</w:t>
            </w:r>
            <w:r w:rsidR="00D40537">
              <w:t>/small monetary incentive</w:t>
            </w:r>
            <w:r w:rsidRPr="00C1231D">
              <w:t xml:space="preserve"> as token of appreciation: 8% (single experiment; Boynton, 1995). </w:t>
            </w:r>
          </w:p>
          <w:p w:rsidR="00520A01" w:rsidRDefault="00520A01" w:rsidP="00520A01">
            <w:pPr>
              <w:pStyle w:val="TableText"/>
              <w:jc w:val="both"/>
            </w:pPr>
            <w:r>
              <w:t xml:space="preserve">8% multiple </w:t>
            </w:r>
            <w:r w:rsidR="000604C7">
              <w:t>prize lottery incentive (six Ipods)</w:t>
            </w:r>
            <w:r>
              <w:t xml:space="preserve"> Ginns, 2006</w:t>
            </w:r>
          </w:p>
          <w:p w:rsidR="00520A01" w:rsidRPr="00C1231D" w:rsidRDefault="00520A01" w:rsidP="00520A01">
            <w:pPr>
              <w:pStyle w:val="TableText"/>
              <w:jc w:val="both"/>
            </w:pPr>
            <w:r>
              <w:t>T</w:t>
            </w:r>
            <w:r w:rsidRPr="00C1231D">
              <w:t>easer on envelope: 11% (single experiment; Dommeyer, Elganayan, &amp; Umans, 1991)</w:t>
            </w:r>
          </w:p>
          <w:p w:rsidR="00E12431" w:rsidRDefault="00D40537" w:rsidP="00520A01">
            <w:pPr>
              <w:pStyle w:val="TableText"/>
              <w:jc w:val="both"/>
            </w:pPr>
            <w:r>
              <w:t>S</w:t>
            </w:r>
            <w:r w:rsidR="00E12431" w:rsidRPr="00C1231D">
              <w:t>tamped return envelope: 6% (meta-analysi</w:t>
            </w:r>
            <w:r>
              <w:t>s; Green &amp; Hutchinson, 1996) · W</w:t>
            </w:r>
            <w:r w:rsidR="00E12431" w:rsidRPr="00C1231D">
              <w:t>arning of reminder: 10% (sin</w:t>
            </w:r>
            <w:r>
              <w:t xml:space="preserve">gle experiment; Green, 1996) </w:t>
            </w:r>
          </w:p>
        </w:tc>
      </w:tr>
      <w:tr w:rsidR="00E12431" w:rsidTr="00D11765">
        <w:trPr>
          <w:trHeight w:val="300"/>
        </w:trPr>
        <w:tc>
          <w:tcPr>
            <w:tcW w:w="3828" w:type="dxa"/>
            <w:shd w:val="clear" w:color="auto" w:fill="F2F2F2" w:themeFill="background1" w:themeFillShade="F2"/>
          </w:tcPr>
          <w:p w:rsidR="00E12431" w:rsidRDefault="00E12431" w:rsidP="005644C2">
            <w:pPr>
              <w:pStyle w:val="TableText"/>
              <w:jc w:val="both"/>
            </w:pPr>
            <w:r w:rsidRPr="00A57BFC">
              <w:rPr>
                <w:b/>
                <w:bCs/>
              </w:rPr>
              <w:t>Third contact: Postcard Thank You/Reminder.</w:t>
            </w:r>
          </w:p>
        </w:tc>
        <w:tc>
          <w:tcPr>
            <w:tcW w:w="3827" w:type="dxa"/>
            <w:shd w:val="clear" w:color="auto" w:fill="F2F2F2" w:themeFill="background1" w:themeFillShade="F2"/>
          </w:tcPr>
          <w:p w:rsidR="00E12431" w:rsidRPr="00A57BFC" w:rsidRDefault="00E12431" w:rsidP="005644C2">
            <w:pPr>
              <w:pStyle w:val="TableText"/>
              <w:jc w:val="both"/>
            </w:pPr>
            <w:r w:rsidRPr="00A57BFC">
              <w:t>postcard reminder with pre</w:t>
            </w:r>
            <w:r w:rsidR="00D11765">
              <w:t>-</w:t>
            </w:r>
            <w:r w:rsidRPr="00A57BFC">
              <w:t>notification letter: 13%</w:t>
            </w:r>
            <w:r w:rsidR="00D11765">
              <w:t xml:space="preserve"> </w:t>
            </w:r>
            <w:r w:rsidRPr="00A57BFC">
              <w:t>(Dillman, Clark, &amp; Sinclair, 1995).</w:t>
            </w:r>
          </w:p>
          <w:p w:rsidR="00E12431" w:rsidRDefault="00E12431" w:rsidP="005644C2">
            <w:pPr>
              <w:pStyle w:val="TableText"/>
              <w:jc w:val="both"/>
            </w:pPr>
          </w:p>
        </w:tc>
      </w:tr>
      <w:tr w:rsidR="00E12431" w:rsidTr="00D11765">
        <w:trPr>
          <w:trHeight w:val="300"/>
        </w:trPr>
        <w:tc>
          <w:tcPr>
            <w:tcW w:w="3828" w:type="dxa"/>
            <w:shd w:val="clear" w:color="auto" w:fill="F2F2F2" w:themeFill="background1" w:themeFillShade="F2"/>
          </w:tcPr>
          <w:p w:rsidR="00E12431" w:rsidRDefault="00E12431" w:rsidP="005644C2">
            <w:pPr>
              <w:pStyle w:val="TableText"/>
              <w:jc w:val="both"/>
            </w:pPr>
            <w:r w:rsidRPr="00A57BFC">
              <w:rPr>
                <w:b/>
                <w:bCs/>
              </w:rPr>
              <w:t>Fourth contact: first replacement questionnaire</w:t>
            </w:r>
          </w:p>
        </w:tc>
        <w:tc>
          <w:tcPr>
            <w:tcW w:w="3827" w:type="dxa"/>
            <w:shd w:val="clear" w:color="auto" w:fill="F2F2F2" w:themeFill="background1" w:themeFillShade="F2"/>
          </w:tcPr>
          <w:p w:rsidR="00E12431" w:rsidRPr="00A57BFC" w:rsidRDefault="00E12431" w:rsidP="005644C2">
            <w:pPr>
              <w:pStyle w:val="TableText"/>
              <w:jc w:val="both"/>
            </w:pPr>
            <w:r w:rsidRPr="00A57BFC">
              <w:t>Personalisation: 4% (meta-analysis;</w:t>
            </w:r>
            <w:r>
              <w:t xml:space="preserve"> </w:t>
            </w:r>
            <w:r w:rsidRPr="00A57BFC">
              <w:t>Green &amp; Hutchinson, 1996) stamped return envelope: 6% (meta-analysis;</w:t>
            </w:r>
            <w:r w:rsidR="00D11765">
              <w:t xml:space="preserve"> </w:t>
            </w:r>
            <w:r w:rsidRPr="00A57BFC">
              <w:t>Green</w:t>
            </w:r>
            <w:r>
              <w:t xml:space="preserve"> </w:t>
            </w:r>
            <w:r w:rsidRPr="00A57BFC">
              <w:t>Hutchinson, 1996)</w:t>
            </w:r>
            <w:r w:rsidR="00D11765">
              <w:t xml:space="preserve"> </w:t>
            </w:r>
          </w:p>
          <w:p w:rsidR="00E12431" w:rsidRDefault="00E12431" w:rsidP="00520A01">
            <w:pPr>
              <w:pStyle w:val="TableText"/>
              <w:jc w:val="both"/>
            </w:pPr>
          </w:p>
        </w:tc>
      </w:tr>
      <w:tr w:rsidR="00E12431" w:rsidTr="00D11765">
        <w:trPr>
          <w:trHeight w:val="300"/>
        </w:trPr>
        <w:tc>
          <w:tcPr>
            <w:tcW w:w="3828" w:type="dxa"/>
            <w:shd w:val="clear" w:color="auto" w:fill="F2F2F2" w:themeFill="background1" w:themeFillShade="F2"/>
          </w:tcPr>
          <w:p w:rsidR="00E12431" w:rsidRDefault="00E12431" w:rsidP="005644C2">
            <w:pPr>
              <w:pStyle w:val="TableText"/>
              <w:jc w:val="both"/>
            </w:pPr>
            <w:r w:rsidRPr="00A57BFC">
              <w:rPr>
                <w:b/>
                <w:bCs/>
              </w:rPr>
              <w:t>Fifth contact: phone surveys.</w:t>
            </w:r>
          </w:p>
        </w:tc>
        <w:tc>
          <w:tcPr>
            <w:tcW w:w="3827" w:type="dxa"/>
            <w:shd w:val="clear" w:color="auto" w:fill="F2F2F2" w:themeFill="background1" w:themeFillShade="F2"/>
          </w:tcPr>
          <w:p w:rsidR="00E12431" w:rsidRPr="00A57BFC" w:rsidRDefault="00E12431" w:rsidP="005644C2">
            <w:pPr>
              <w:pStyle w:val="TableText"/>
              <w:jc w:val="both"/>
            </w:pPr>
            <w:r w:rsidRPr="00A57BFC">
              <w:t>Additional contacts: number of contacts correlates</w:t>
            </w:r>
            <w:r w:rsidR="00D11765">
              <w:t xml:space="preserve"> </w:t>
            </w:r>
            <w:r w:rsidRPr="00A57BFC">
              <w:t>strongly with the response rate in mail surveys</w:t>
            </w:r>
            <w:r w:rsidR="00D11765">
              <w:t xml:space="preserve"> </w:t>
            </w:r>
            <w:r w:rsidRPr="00A57BFC">
              <w:t>(meta</w:t>
            </w:r>
            <w:r w:rsidR="00D11765">
              <w:t>-</w:t>
            </w:r>
            <w:r w:rsidRPr="00A57BFC">
              <w:t>analysis;</w:t>
            </w:r>
            <w:r w:rsidR="00D11765">
              <w:t xml:space="preserve"> </w:t>
            </w:r>
            <w:r w:rsidRPr="00A57BFC">
              <w:t>Heberlein &amp; Baumgartner, 1978)</w:t>
            </w:r>
          </w:p>
          <w:p w:rsidR="00E12431" w:rsidRDefault="00E12431" w:rsidP="005644C2">
            <w:pPr>
              <w:pStyle w:val="TableText"/>
              <w:jc w:val="both"/>
            </w:pPr>
          </w:p>
        </w:tc>
      </w:tr>
    </w:tbl>
    <w:p w:rsidR="00E12431" w:rsidRDefault="00E12431" w:rsidP="00E12431">
      <w:pPr>
        <w:pStyle w:val="BodyText"/>
        <w:jc w:val="both"/>
      </w:pPr>
    </w:p>
    <w:p w:rsidR="000604C7" w:rsidRDefault="00922A82" w:rsidP="00922A82">
      <w:pPr>
        <w:pStyle w:val="BodyText"/>
        <w:jc w:val="both"/>
        <w:rPr>
          <w:lang w:val="en-AU"/>
        </w:rPr>
      </w:pPr>
      <w:r w:rsidRPr="00922A82">
        <w:rPr>
          <w:lang w:val="en-AU"/>
        </w:rPr>
        <w:t xml:space="preserve">Based on the 2005 student engagement surveys (SES) </w:t>
      </w:r>
      <w:r>
        <w:rPr>
          <w:lang w:val="en-AU"/>
        </w:rPr>
        <w:t xml:space="preserve">(Coates, </w:t>
      </w:r>
      <w:r w:rsidR="00BB00A5">
        <w:rPr>
          <w:lang w:val="en-AU"/>
        </w:rPr>
        <w:t>2006</w:t>
      </w:r>
      <w:r>
        <w:rPr>
          <w:lang w:val="en-AU"/>
        </w:rPr>
        <w:t>)</w:t>
      </w:r>
      <w:r w:rsidRPr="00922A82">
        <w:rPr>
          <w:lang w:val="en-AU"/>
        </w:rPr>
        <w:t xml:space="preserve"> 16</w:t>
      </w:r>
      <w:r w:rsidR="00B5189C">
        <w:rPr>
          <w:lang w:val="en-AU"/>
        </w:rPr>
        <w:t xml:space="preserve"> percent</w:t>
      </w:r>
      <w:r w:rsidRPr="00922A82">
        <w:rPr>
          <w:lang w:val="en-AU"/>
        </w:rPr>
        <w:t xml:space="preserve"> of survey managers </w:t>
      </w:r>
      <w:r>
        <w:rPr>
          <w:lang w:val="en-AU"/>
        </w:rPr>
        <w:t>indicated that the</w:t>
      </w:r>
      <w:r w:rsidR="00821F36">
        <w:rPr>
          <w:lang w:val="en-AU"/>
        </w:rPr>
        <w:t>y</w:t>
      </w:r>
      <w:r>
        <w:rPr>
          <w:lang w:val="en-AU"/>
        </w:rPr>
        <w:t xml:space="preserve"> </w:t>
      </w:r>
      <w:r w:rsidRPr="00922A82">
        <w:rPr>
          <w:lang w:val="en-AU"/>
        </w:rPr>
        <w:t xml:space="preserve">have no access </w:t>
      </w:r>
      <w:r>
        <w:rPr>
          <w:lang w:val="en-AU"/>
        </w:rPr>
        <w:t>to additional resources (other than</w:t>
      </w:r>
      <w:r w:rsidRPr="00922A82">
        <w:rPr>
          <w:lang w:val="en-AU"/>
        </w:rPr>
        <w:t xml:space="preserve"> standard office resources)</w:t>
      </w:r>
      <w:r>
        <w:rPr>
          <w:lang w:val="en-AU"/>
        </w:rPr>
        <w:t xml:space="preserve"> to administer the AGS.  However, as shown in </w:t>
      </w:r>
      <w:r w:rsidRPr="00821F36">
        <w:rPr>
          <w:b/>
          <w:lang w:val="en-AU"/>
        </w:rPr>
        <w:t>Figure 1</w:t>
      </w:r>
      <w:r>
        <w:rPr>
          <w:lang w:val="en-AU"/>
        </w:rPr>
        <w:t xml:space="preserve">, </w:t>
      </w:r>
      <w:r w:rsidRPr="00922A82">
        <w:rPr>
          <w:lang w:val="en-AU"/>
        </w:rPr>
        <w:t>49</w:t>
      </w:r>
      <w:r w:rsidR="00B5189C">
        <w:rPr>
          <w:lang w:val="en-AU"/>
        </w:rPr>
        <w:t xml:space="preserve"> percent</w:t>
      </w:r>
      <w:r w:rsidRPr="00922A82">
        <w:rPr>
          <w:lang w:val="en-AU"/>
        </w:rPr>
        <w:t xml:space="preserve"> (CEQ) and 9</w:t>
      </w:r>
      <w:r w:rsidR="00B5189C">
        <w:rPr>
          <w:lang w:val="en-AU"/>
        </w:rPr>
        <w:t xml:space="preserve"> percent</w:t>
      </w:r>
      <w:r w:rsidRPr="00922A82">
        <w:rPr>
          <w:lang w:val="en-AU"/>
        </w:rPr>
        <w:t xml:space="preserve"> (GDS) of institutions respectively, </w:t>
      </w:r>
      <w:r>
        <w:rPr>
          <w:lang w:val="en-AU"/>
        </w:rPr>
        <w:t>fall below a 50</w:t>
      </w:r>
      <w:r w:rsidR="00B5189C">
        <w:rPr>
          <w:lang w:val="en-AU"/>
        </w:rPr>
        <w:t xml:space="preserve"> percent</w:t>
      </w:r>
      <w:r>
        <w:rPr>
          <w:lang w:val="en-AU"/>
        </w:rPr>
        <w:t xml:space="preserve"> response rate</w:t>
      </w:r>
      <w:r w:rsidRPr="00922A82">
        <w:rPr>
          <w:lang w:val="en-AU"/>
        </w:rPr>
        <w:t>.   Only 13</w:t>
      </w:r>
      <w:r w:rsidR="00B5189C">
        <w:rPr>
          <w:lang w:val="en-AU"/>
        </w:rPr>
        <w:t xml:space="preserve"> percent (GDS) and 4 percent</w:t>
      </w:r>
      <w:r w:rsidRPr="00922A82">
        <w:rPr>
          <w:lang w:val="en-AU"/>
        </w:rPr>
        <w:t xml:space="preserve"> (CEQ) of institutions achieve a desirable rate of 70</w:t>
      </w:r>
      <w:r w:rsidR="00B5189C">
        <w:rPr>
          <w:lang w:val="en-AU"/>
        </w:rPr>
        <w:t xml:space="preserve"> percent</w:t>
      </w:r>
      <w:r w:rsidRPr="00922A82">
        <w:rPr>
          <w:lang w:val="en-AU"/>
        </w:rPr>
        <w:t xml:space="preserve"> or higher</w:t>
      </w:r>
      <w:r>
        <w:rPr>
          <w:lang w:val="en-AU"/>
        </w:rPr>
        <w:t>.</w:t>
      </w:r>
    </w:p>
    <w:p w:rsidR="000604C7" w:rsidRDefault="000604C7">
      <w:pPr>
        <w:ind w:left="0"/>
        <w:rPr>
          <w:spacing w:val="10"/>
          <w:sz w:val="17"/>
          <w:lang w:val="en-AU"/>
        </w:rPr>
      </w:pPr>
      <w:r>
        <w:rPr>
          <w:lang w:val="en-AU"/>
        </w:rPr>
        <w:br w:type="page"/>
      </w:r>
    </w:p>
    <w:p w:rsidR="00922A82" w:rsidRPr="00922A82" w:rsidRDefault="00922A82" w:rsidP="00922A82">
      <w:pPr>
        <w:pStyle w:val="BodyText"/>
        <w:jc w:val="both"/>
        <w:rPr>
          <w:lang w:val="en-AU"/>
        </w:rPr>
      </w:pPr>
    </w:p>
    <w:p w:rsidR="00922A82" w:rsidRPr="00DE5620" w:rsidRDefault="007D42E0" w:rsidP="00DE5620">
      <w:pPr>
        <w:pStyle w:val="IndentedBodyText"/>
        <w:jc w:val="both"/>
        <w:rPr>
          <w:b/>
        </w:rPr>
      </w:pPr>
      <w:r w:rsidRPr="00DE5620">
        <w:rPr>
          <w:b/>
          <w:noProof/>
          <w:lang w:val="en-AU" w:eastAsia="en-AU"/>
        </w:rPr>
        <w:drawing>
          <wp:anchor distT="0" distB="0" distL="114300" distR="114300" simplePos="0" relativeHeight="251658240" behindDoc="0" locked="0" layoutInCell="1" allowOverlap="1">
            <wp:simplePos x="0" y="0"/>
            <wp:positionH relativeFrom="column">
              <wp:posOffset>27305</wp:posOffset>
            </wp:positionH>
            <wp:positionV relativeFrom="paragraph">
              <wp:posOffset>269240</wp:posOffset>
            </wp:positionV>
            <wp:extent cx="4742180" cy="2950210"/>
            <wp:effectExtent l="19050" t="0" r="127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42180" cy="2950210"/>
                    </a:xfrm>
                    <a:prstGeom prst="rect">
                      <a:avLst/>
                    </a:prstGeom>
                    <a:noFill/>
                  </pic:spPr>
                </pic:pic>
              </a:graphicData>
            </a:graphic>
          </wp:anchor>
        </w:drawing>
      </w:r>
      <w:r w:rsidRPr="00DE5620">
        <w:rPr>
          <w:b/>
        </w:rPr>
        <w:t>Figure 1: AGS Response Rates (2007)</w:t>
      </w: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pPr>
    </w:p>
    <w:p w:rsidR="00922A82" w:rsidRDefault="00922A82" w:rsidP="00E12431">
      <w:pPr>
        <w:pStyle w:val="BodyText"/>
        <w:jc w:val="both"/>
        <w:rPr>
          <w:noProof/>
        </w:rPr>
      </w:pPr>
    </w:p>
    <w:p w:rsidR="00922A82" w:rsidRDefault="00922A82" w:rsidP="00E12431">
      <w:pPr>
        <w:pStyle w:val="BodyText"/>
        <w:jc w:val="both"/>
        <w:rPr>
          <w:noProof/>
        </w:rPr>
      </w:pPr>
    </w:p>
    <w:p w:rsidR="00922A82" w:rsidRDefault="00922A82" w:rsidP="00E12431">
      <w:pPr>
        <w:pStyle w:val="BodyText"/>
        <w:jc w:val="both"/>
      </w:pPr>
    </w:p>
    <w:p w:rsidR="007D42E0" w:rsidRDefault="00821F36" w:rsidP="00E12431">
      <w:pPr>
        <w:pStyle w:val="BodyText"/>
        <w:jc w:val="both"/>
      </w:pPr>
      <w:r>
        <w:t xml:space="preserve">(GCA, </w:t>
      </w:r>
      <w:r w:rsidR="007D42E0">
        <w:t>2007)</w:t>
      </w:r>
    </w:p>
    <w:p w:rsidR="00DE5620" w:rsidRDefault="00DE5620" w:rsidP="00FE44A0">
      <w:pPr>
        <w:pStyle w:val="BodyText"/>
        <w:jc w:val="both"/>
        <w:rPr>
          <w:lang w:val="en-AU"/>
        </w:rPr>
      </w:pPr>
    </w:p>
    <w:p w:rsidR="00DE5620" w:rsidRPr="00DE5620" w:rsidRDefault="00DE5620" w:rsidP="00DE5620">
      <w:pPr>
        <w:pStyle w:val="BodyText"/>
        <w:jc w:val="both"/>
        <w:rPr>
          <w:lang w:val="en-AU"/>
        </w:rPr>
      </w:pPr>
      <w:r>
        <w:rPr>
          <w:lang w:val="en-AU"/>
        </w:rPr>
        <w:t xml:space="preserve">Further, </w:t>
      </w:r>
      <w:r w:rsidR="006E583B" w:rsidRPr="007D4E97">
        <w:rPr>
          <w:rFonts w:cs="Arial"/>
          <w:bCs/>
        </w:rPr>
        <w:t>a</w:t>
      </w:r>
      <w:r w:rsidR="006E583B">
        <w:rPr>
          <w:rFonts w:cs="Arial"/>
          <w:bCs/>
        </w:rPr>
        <w:t>ll</w:t>
      </w:r>
      <w:r>
        <w:rPr>
          <w:rFonts w:cs="Arial"/>
          <w:bCs/>
        </w:rPr>
        <w:t xml:space="preserve"> students surveyed as part of the</w:t>
      </w:r>
      <w:r>
        <w:rPr>
          <w:lang w:val="en-AU"/>
        </w:rPr>
        <w:t xml:space="preserve"> </w:t>
      </w:r>
      <w:r w:rsidRPr="00922A82">
        <w:rPr>
          <w:lang w:val="en-AU"/>
        </w:rPr>
        <w:t>2005 student engagement</w:t>
      </w:r>
      <w:r>
        <w:rPr>
          <w:lang w:val="en-AU"/>
        </w:rPr>
        <w:t xml:space="preserve"> assessment</w:t>
      </w:r>
      <w:r w:rsidRPr="00922A82">
        <w:rPr>
          <w:lang w:val="en-AU"/>
        </w:rPr>
        <w:t xml:space="preserve"> </w:t>
      </w:r>
      <w:r>
        <w:rPr>
          <w:rFonts w:cs="Arial"/>
          <w:bCs/>
        </w:rPr>
        <w:t>believed</w:t>
      </w:r>
      <w:r w:rsidRPr="007D4E97">
        <w:rPr>
          <w:rFonts w:cs="Arial"/>
          <w:bCs/>
        </w:rPr>
        <w:t xml:space="preserve"> that institutions should seek</w:t>
      </w:r>
      <w:r>
        <w:rPr>
          <w:rFonts w:cs="Arial"/>
          <w:bCs/>
        </w:rPr>
        <w:t xml:space="preserve"> </w:t>
      </w:r>
      <w:r w:rsidRPr="007D4E97">
        <w:rPr>
          <w:rFonts w:cs="Arial"/>
          <w:bCs/>
        </w:rPr>
        <w:t>feedback from students</w:t>
      </w:r>
      <w:r>
        <w:rPr>
          <w:rFonts w:cs="Arial"/>
          <w:bCs/>
        </w:rPr>
        <w:t>, h</w:t>
      </w:r>
      <w:r w:rsidR="00B5189C">
        <w:rPr>
          <w:rFonts w:cs="Arial"/>
          <w:bCs/>
        </w:rPr>
        <w:t>owever, only 60 percent</w:t>
      </w:r>
      <w:r w:rsidRPr="007D4E97">
        <w:rPr>
          <w:rFonts w:cs="Arial"/>
          <w:bCs/>
        </w:rPr>
        <w:t xml:space="preserve"> of the sample</w:t>
      </w:r>
      <w:r>
        <w:rPr>
          <w:rFonts w:cs="Arial"/>
          <w:bCs/>
        </w:rPr>
        <w:t>d</w:t>
      </w:r>
      <w:r w:rsidRPr="007D4E97">
        <w:rPr>
          <w:rFonts w:cs="Arial"/>
          <w:bCs/>
        </w:rPr>
        <w:t xml:space="preserve"> students felt that institutions</w:t>
      </w:r>
      <w:r>
        <w:rPr>
          <w:rFonts w:cs="Arial"/>
          <w:bCs/>
        </w:rPr>
        <w:t xml:space="preserve"> </w:t>
      </w:r>
      <w:r w:rsidRPr="007D4E97">
        <w:rPr>
          <w:rFonts w:cs="Arial"/>
          <w:bCs/>
        </w:rPr>
        <w:t xml:space="preserve">make good use of the feedback </w:t>
      </w:r>
      <w:r>
        <w:rPr>
          <w:rFonts w:cs="Arial"/>
          <w:bCs/>
        </w:rPr>
        <w:t xml:space="preserve">they receive from students </w:t>
      </w:r>
      <w:r>
        <w:rPr>
          <w:lang w:val="en-AU"/>
        </w:rPr>
        <w:t xml:space="preserve">(Coates, </w:t>
      </w:r>
      <w:r w:rsidR="00BB00A5">
        <w:rPr>
          <w:lang w:val="en-AU"/>
        </w:rPr>
        <w:t>2006</w:t>
      </w:r>
      <w:r>
        <w:rPr>
          <w:lang w:val="en-AU"/>
        </w:rPr>
        <w:t xml:space="preserve">). </w:t>
      </w:r>
      <w:r w:rsidR="00B5189C">
        <w:rPr>
          <w:lang w:val="en-AU"/>
        </w:rPr>
        <w:t>Over 60 percent</w:t>
      </w:r>
      <w:r w:rsidRPr="00DE5620">
        <w:rPr>
          <w:lang w:val="en-AU"/>
        </w:rPr>
        <w:t xml:space="preserve"> of graduates reported that an incentive would motivate them to respond to the survey, although the size of incentive does not seem to matter.</w:t>
      </w:r>
      <w:r>
        <w:rPr>
          <w:lang w:val="en-AU"/>
        </w:rPr>
        <w:t xml:space="preserve"> </w:t>
      </w:r>
      <w:r w:rsidRPr="00DE5620">
        <w:rPr>
          <w:lang w:val="en-AU"/>
        </w:rPr>
        <w:t>Other factors rated as important by more than 50</w:t>
      </w:r>
      <w:r w:rsidR="00B5189C">
        <w:rPr>
          <w:lang w:val="en-AU"/>
        </w:rPr>
        <w:t xml:space="preserve"> percent</w:t>
      </w:r>
      <w:r w:rsidRPr="00DE5620">
        <w:rPr>
          <w:lang w:val="en-AU"/>
        </w:rPr>
        <w:t xml:space="preserve"> of graduates include</w:t>
      </w:r>
      <w:r>
        <w:rPr>
          <w:lang w:val="en-AU"/>
        </w:rPr>
        <w:t>d</w:t>
      </w:r>
      <w:r w:rsidRPr="00DE5620">
        <w:rPr>
          <w:lang w:val="en-AU"/>
        </w:rPr>
        <w:t xml:space="preserve"> repeated mail-outs of the questionnaire, postcard reminders and follow-up telephone calls.</w:t>
      </w:r>
      <w:r>
        <w:rPr>
          <w:lang w:val="en-AU"/>
        </w:rPr>
        <w:t xml:space="preserve"> </w:t>
      </w:r>
      <w:r w:rsidRPr="00DE5620">
        <w:rPr>
          <w:lang w:val="en-AU"/>
        </w:rPr>
        <w:t>Particularly notable is the low emphasis placed on both the size of receiving incentives and prizes, or th</w:t>
      </w:r>
      <w:r w:rsidR="00007E02">
        <w:rPr>
          <w:lang w:val="en-AU"/>
        </w:rPr>
        <w:t xml:space="preserve">e likelihood or winning a prize (Coates, </w:t>
      </w:r>
      <w:r w:rsidR="00BB00A5">
        <w:rPr>
          <w:lang w:val="en-AU"/>
        </w:rPr>
        <w:t>2006</w:t>
      </w:r>
      <w:r w:rsidR="00007E02">
        <w:rPr>
          <w:lang w:val="en-AU"/>
        </w:rPr>
        <w:t>).</w:t>
      </w:r>
    </w:p>
    <w:p w:rsidR="00DE5620" w:rsidRDefault="00DE5620" w:rsidP="00FE44A0">
      <w:pPr>
        <w:pStyle w:val="BodyText"/>
        <w:jc w:val="both"/>
      </w:pPr>
    </w:p>
    <w:p w:rsidR="00007E02" w:rsidRPr="00007E02" w:rsidRDefault="00007E02" w:rsidP="00FE44A0">
      <w:pPr>
        <w:pStyle w:val="BodyText"/>
        <w:jc w:val="both"/>
        <w:rPr>
          <w:lang w:val="en-AU"/>
        </w:rPr>
      </w:pPr>
      <w:r w:rsidRPr="00007E02">
        <w:rPr>
          <w:lang w:val="en-AU"/>
        </w:rPr>
        <w:t xml:space="preserve">Despite the importance of pre-notification, figures from the GCA 2004 methodology review survey suggest that only 20.4% of institutions give any preliminary notice to </w:t>
      </w:r>
      <w:r w:rsidR="00821F36">
        <w:rPr>
          <w:lang w:val="en-AU"/>
        </w:rPr>
        <w:t>students</w:t>
      </w:r>
      <w:r w:rsidRPr="00007E02">
        <w:rPr>
          <w:lang w:val="en-AU"/>
        </w:rPr>
        <w:t xml:space="preserve"> about the GCA surveys. Post and personal email are the only two means of contact favoured by more than 50% of respondents</w:t>
      </w:r>
      <w:r>
        <w:rPr>
          <w:lang w:val="en-AU"/>
        </w:rPr>
        <w:t xml:space="preserve"> (Coates, </w:t>
      </w:r>
      <w:r w:rsidR="00BB00A5">
        <w:rPr>
          <w:lang w:val="en-AU"/>
        </w:rPr>
        <w:t>2006</w:t>
      </w:r>
      <w:r>
        <w:rPr>
          <w:lang w:val="en-AU"/>
        </w:rPr>
        <w:t>).</w:t>
      </w:r>
    </w:p>
    <w:p w:rsidR="00007E02" w:rsidRPr="00DE5620" w:rsidRDefault="00007E02" w:rsidP="00FE44A0">
      <w:pPr>
        <w:pStyle w:val="BodyText"/>
        <w:jc w:val="both"/>
      </w:pPr>
    </w:p>
    <w:p w:rsidR="00FE44A0" w:rsidRPr="00786A56" w:rsidRDefault="00FE44A0" w:rsidP="00FE44A0">
      <w:pPr>
        <w:pStyle w:val="BodyText"/>
        <w:jc w:val="both"/>
        <w:rPr>
          <w:lang w:val="en-AU"/>
        </w:rPr>
      </w:pPr>
      <w:r w:rsidRPr="00786A56">
        <w:rPr>
          <w:lang w:val="en-AU"/>
        </w:rPr>
        <w:t>Many of the issues and trends exposed in this research are active in the national surveys of Australian university graduates. A 2004 survey methodology review conducted by the Graduate Careers Australia (GCA, 2004) found that at least three-quarters of institutions make three follow-up contacts, use multiple modalities to conduct the survey, and use reply-paid envelopes. Just over half use multiple modalities for initial form distribution and make moderately targeted use of response incentives, although very few believe that they are an effective means of raising response rates</w:t>
      </w:r>
      <w:r w:rsidR="00007E02">
        <w:rPr>
          <w:lang w:val="en-AU"/>
        </w:rPr>
        <w:t xml:space="preserve"> (Coates, </w:t>
      </w:r>
      <w:r w:rsidR="00BB00A5">
        <w:rPr>
          <w:lang w:val="en-AU"/>
        </w:rPr>
        <w:t>2006</w:t>
      </w:r>
      <w:r w:rsidR="00007E02">
        <w:rPr>
          <w:lang w:val="en-AU"/>
        </w:rPr>
        <w:t>).</w:t>
      </w:r>
    </w:p>
    <w:p w:rsidR="00FE44A0" w:rsidRPr="00FE44A0" w:rsidRDefault="00FE44A0" w:rsidP="00FE44A0">
      <w:pPr>
        <w:pStyle w:val="BodyText"/>
        <w:jc w:val="both"/>
        <w:rPr>
          <w:lang w:val="en-AU"/>
        </w:rPr>
      </w:pPr>
      <w:r w:rsidRPr="00786A56">
        <w:rPr>
          <w:lang w:val="en-AU"/>
        </w:rPr>
        <w:t xml:space="preserve">Yet, comparatively few institutions give pre-notification to graduates about upcoming surveys, </w:t>
      </w:r>
      <w:r w:rsidR="00007E02">
        <w:rPr>
          <w:lang w:val="en-AU"/>
        </w:rPr>
        <w:t xml:space="preserve">or endeavour to reduce survey fatigue. </w:t>
      </w:r>
      <w:r w:rsidRPr="00786A56">
        <w:rPr>
          <w:lang w:val="en-AU"/>
        </w:rPr>
        <w:t xml:space="preserve"> While discussions about survey fatigue are common, much less emphasis appears to have been given to developing potential respondents’ perceptions of the salience and significance of survey </w:t>
      </w:r>
      <w:r w:rsidR="00007E02">
        <w:rPr>
          <w:lang w:val="en-AU"/>
        </w:rPr>
        <w:t xml:space="preserve">(Coates, </w:t>
      </w:r>
      <w:r w:rsidR="00BB00A5">
        <w:rPr>
          <w:lang w:val="en-AU"/>
        </w:rPr>
        <w:t>2006</w:t>
      </w:r>
      <w:r w:rsidR="00007E02">
        <w:rPr>
          <w:lang w:val="en-AU"/>
        </w:rPr>
        <w:t>).</w:t>
      </w:r>
      <w:r>
        <w:rPr>
          <w:lang w:val="en-AU"/>
        </w:rPr>
        <w:t xml:space="preserve"> </w:t>
      </w:r>
    </w:p>
    <w:p w:rsidR="00E12431" w:rsidRDefault="00E12431" w:rsidP="00C20D76">
      <w:pPr>
        <w:pStyle w:val="BodyText"/>
        <w:jc w:val="both"/>
      </w:pPr>
    </w:p>
    <w:p w:rsidR="005A678F" w:rsidRDefault="009E2BED" w:rsidP="00C20D76">
      <w:pPr>
        <w:pStyle w:val="Heading1"/>
        <w:jc w:val="both"/>
      </w:pPr>
      <w:r>
        <w:t>Recommendations</w:t>
      </w:r>
    </w:p>
    <w:p w:rsidR="00D11765" w:rsidRDefault="00D11765" w:rsidP="00D11765">
      <w:pPr>
        <w:pStyle w:val="BodyText"/>
      </w:pPr>
    </w:p>
    <w:p w:rsidR="00A129E3" w:rsidRDefault="00A129E3" w:rsidP="00727168">
      <w:pPr>
        <w:pStyle w:val="BodyText"/>
        <w:jc w:val="both"/>
        <w:rPr>
          <w:lang w:val="en-AU"/>
        </w:rPr>
      </w:pPr>
      <w:r>
        <w:rPr>
          <w:lang w:val="en-AU"/>
        </w:rPr>
        <w:t>GCA can, with the SRG, develop a set of protocols for the way incentives are offered but these cannot stand in place of solid survey research practices aimed at maximising response.</w:t>
      </w:r>
      <w:r w:rsidR="007A3330">
        <w:rPr>
          <w:lang w:val="en-AU"/>
        </w:rPr>
        <w:t xml:space="preserve"> The issues discussed in this document will be </w:t>
      </w:r>
      <w:r w:rsidR="00414B86">
        <w:rPr>
          <w:lang w:val="en-AU"/>
        </w:rPr>
        <w:t>developed</w:t>
      </w:r>
      <w:r w:rsidR="007A3330">
        <w:rPr>
          <w:lang w:val="en-AU"/>
        </w:rPr>
        <w:t xml:space="preserve"> into an advisory paper to be referred to in the AGS Manual and placed on the START web site.</w:t>
      </w:r>
    </w:p>
    <w:p w:rsidR="00007E02" w:rsidRPr="00007E02" w:rsidRDefault="00007E02" w:rsidP="00727168">
      <w:pPr>
        <w:pStyle w:val="BodyText"/>
        <w:jc w:val="both"/>
        <w:rPr>
          <w:lang w:val="en-AU"/>
        </w:rPr>
      </w:pPr>
      <w:r w:rsidRPr="00007E02">
        <w:rPr>
          <w:lang w:val="en-AU"/>
        </w:rPr>
        <w:t>While pre-survey promotion may enhance general awareness and receptivity, one real challenge for enhancing response levels and quality is to identify effective ways to transform non-response into response behaviour. It seems that enhancing intrinsic motivation rather than using extrinsic rewards may be a key means of doing this, although this is itself a challenge given the essentially low stakes nature of many survey outcomes for participants</w:t>
      </w:r>
      <w:r w:rsidR="00BB00A5">
        <w:rPr>
          <w:lang w:val="en-AU"/>
        </w:rPr>
        <w:t xml:space="preserve"> (Coates, 2006</w:t>
      </w:r>
      <w:r w:rsidR="00727168">
        <w:rPr>
          <w:lang w:val="en-AU"/>
        </w:rPr>
        <w:t>)</w:t>
      </w:r>
      <w:r w:rsidRPr="00007E02">
        <w:rPr>
          <w:lang w:val="en-AU"/>
        </w:rPr>
        <w:t xml:space="preserve">. </w:t>
      </w:r>
    </w:p>
    <w:p w:rsidR="00D11765" w:rsidRPr="003C0D1B" w:rsidRDefault="00D11765" w:rsidP="003C0D1B">
      <w:pPr>
        <w:pStyle w:val="BodyText"/>
        <w:jc w:val="both"/>
        <w:rPr>
          <w:lang w:val="en-AU"/>
        </w:rPr>
      </w:pPr>
    </w:p>
    <w:p w:rsidR="003C0D1B" w:rsidRDefault="003C0D1B" w:rsidP="003C0D1B">
      <w:pPr>
        <w:pStyle w:val="BodyText"/>
        <w:jc w:val="both"/>
        <w:rPr>
          <w:lang w:val="en-AU"/>
        </w:rPr>
      </w:pPr>
      <w:r w:rsidRPr="003C0D1B">
        <w:rPr>
          <w:lang w:val="en-AU"/>
        </w:rPr>
        <w:t>Much previous research has conce</w:t>
      </w:r>
      <w:r w:rsidR="00AD16C2">
        <w:rPr>
          <w:lang w:val="en-AU"/>
        </w:rPr>
        <w:t>ntrated on identifying correlation</w:t>
      </w:r>
      <w:r w:rsidRPr="003C0D1B">
        <w:rPr>
          <w:lang w:val="en-AU"/>
        </w:rPr>
        <w:t xml:space="preserve"> of increased response rates. Such research has associated increased response rates with high quality contact information, multiple contacts, such as pre-notification, repeat mail-outs, telephone follow-up and reminder notes. The use of various monetary and other incentives h</w:t>
      </w:r>
      <w:r>
        <w:rPr>
          <w:lang w:val="en-AU"/>
        </w:rPr>
        <w:t>as also received much attention (Coates, 200</w:t>
      </w:r>
      <w:r w:rsidR="00BB00A5">
        <w:rPr>
          <w:lang w:val="en-AU"/>
        </w:rPr>
        <w:t>6</w:t>
      </w:r>
      <w:r>
        <w:rPr>
          <w:lang w:val="en-AU"/>
        </w:rPr>
        <w:t>)</w:t>
      </w:r>
      <w:r w:rsidRPr="00007E02">
        <w:rPr>
          <w:lang w:val="en-AU"/>
        </w:rPr>
        <w:t>.</w:t>
      </w:r>
    </w:p>
    <w:p w:rsidR="003C0D1B" w:rsidRPr="003C0D1B" w:rsidRDefault="003C0D1B" w:rsidP="003C0D1B">
      <w:pPr>
        <w:pStyle w:val="BodyText"/>
        <w:jc w:val="both"/>
        <w:rPr>
          <w:lang w:val="en-AU"/>
        </w:rPr>
      </w:pPr>
    </w:p>
    <w:p w:rsidR="003C0D1B" w:rsidRPr="003C0D1B" w:rsidRDefault="00AD16C2" w:rsidP="003C0D1B">
      <w:pPr>
        <w:pStyle w:val="BodyText"/>
        <w:jc w:val="both"/>
        <w:rPr>
          <w:lang w:val="en-AU"/>
        </w:rPr>
      </w:pPr>
      <w:r>
        <w:rPr>
          <w:lang w:val="en-AU"/>
        </w:rPr>
        <w:t xml:space="preserve">According to the research, </w:t>
      </w:r>
      <w:r w:rsidR="003C0D1B" w:rsidRPr="003C0D1B">
        <w:rPr>
          <w:lang w:val="en-AU"/>
        </w:rPr>
        <w:t xml:space="preserve">incentives have, in general, only been found to have modest </w:t>
      </w:r>
      <w:r w:rsidR="00BB00A5">
        <w:rPr>
          <w:lang w:val="en-AU"/>
        </w:rPr>
        <w:t>positive results on</w:t>
      </w:r>
      <w:r w:rsidR="003C0D1B" w:rsidRPr="003C0D1B">
        <w:rPr>
          <w:lang w:val="en-AU"/>
        </w:rPr>
        <w:t xml:space="preserve"> response rates. Further, incentives have been found to have diminishing returns, and to be even less useful, unless they are carefully targeted at particular respondent groups. To a lesser but occasionally still significant extent, appeals for ‘help’, inclusion of return envelopes, assurances of confidentiality, questionnaire design and length, personalisation, institutional endorsement, and type of postage have been correlate</w:t>
      </w:r>
      <w:r w:rsidR="003C0D1B">
        <w:rPr>
          <w:lang w:val="en-AU"/>
        </w:rPr>
        <w:t>d with increa</w:t>
      </w:r>
      <w:r w:rsidR="00BB00A5">
        <w:rPr>
          <w:lang w:val="en-AU"/>
        </w:rPr>
        <w:t>sed response rates (Coates, 2006</w:t>
      </w:r>
      <w:r w:rsidR="003C0D1B">
        <w:rPr>
          <w:lang w:val="en-AU"/>
        </w:rPr>
        <w:t>)</w:t>
      </w:r>
      <w:r w:rsidR="003C0D1B" w:rsidRPr="00007E02">
        <w:rPr>
          <w:lang w:val="en-AU"/>
        </w:rPr>
        <w:t>.</w:t>
      </w:r>
    </w:p>
    <w:p w:rsidR="00F060E2" w:rsidRPr="003C0D1B" w:rsidRDefault="00F060E2" w:rsidP="003C0D1B">
      <w:pPr>
        <w:pStyle w:val="BodyText"/>
        <w:jc w:val="both"/>
        <w:rPr>
          <w:lang w:val="en-AU"/>
        </w:rPr>
      </w:pPr>
    </w:p>
    <w:p w:rsidR="00F060E2" w:rsidRDefault="00CB704C" w:rsidP="00155843">
      <w:pPr>
        <w:pStyle w:val="BodyText"/>
        <w:jc w:val="both"/>
      </w:pPr>
      <w:r>
        <w:t xml:space="preserve">Guidelines for incentives can therefore not be separated from an overall holistic approach to achieve good response rates. </w:t>
      </w:r>
      <w:r w:rsidR="00BB00A5">
        <w:t xml:space="preserve"> Strategies provided by Coates (2006) as part of the national AGS enhancement project </w:t>
      </w:r>
      <w:r w:rsidR="00A06B09">
        <w:t>are</w:t>
      </w:r>
      <w:r w:rsidR="00BB00A5">
        <w:t xml:space="preserve"> therefore imperative.  These strategies include: </w:t>
      </w:r>
    </w:p>
    <w:p w:rsidR="00D61701" w:rsidRPr="00D61701" w:rsidRDefault="00155843" w:rsidP="00155843">
      <w:pPr>
        <w:pStyle w:val="BodyText"/>
        <w:numPr>
          <w:ilvl w:val="0"/>
          <w:numId w:val="37"/>
        </w:numPr>
        <w:jc w:val="both"/>
        <w:rPr>
          <w:bCs/>
          <w:lang w:val="en-AU"/>
        </w:rPr>
      </w:pPr>
      <w:r>
        <w:rPr>
          <w:bCs/>
          <w:lang w:val="en-AU"/>
        </w:rPr>
        <w:t xml:space="preserve">Institutions should </w:t>
      </w:r>
      <w:r w:rsidR="00D61701" w:rsidRPr="00D61701">
        <w:rPr>
          <w:bCs/>
          <w:lang w:val="en-AU"/>
        </w:rPr>
        <w:t>develop a survey policy to manage their student and graduate surveys. The policy should be institution-wide, in that it should embrace activities and stakeholders from across an institution.</w:t>
      </w:r>
    </w:p>
    <w:p w:rsidR="00D61701" w:rsidRPr="00D61701" w:rsidRDefault="00D61701" w:rsidP="00155843">
      <w:pPr>
        <w:pStyle w:val="BodyText"/>
        <w:numPr>
          <w:ilvl w:val="0"/>
          <w:numId w:val="37"/>
        </w:numPr>
        <w:jc w:val="both"/>
        <w:rPr>
          <w:bCs/>
          <w:lang w:val="en-AU"/>
        </w:rPr>
      </w:pPr>
      <w:r w:rsidRPr="00D61701">
        <w:rPr>
          <w:bCs/>
          <w:lang w:val="en-AU"/>
        </w:rPr>
        <w:t>Such policies should include frameworks for planning, managing and reviewing survey practices and associated activities.</w:t>
      </w:r>
    </w:p>
    <w:p w:rsidR="00D61701" w:rsidRPr="00D61701" w:rsidRDefault="00D61701" w:rsidP="00155843">
      <w:pPr>
        <w:pStyle w:val="BodyText"/>
        <w:numPr>
          <w:ilvl w:val="0"/>
          <w:numId w:val="37"/>
        </w:numPr>
        <w:jc w:val="both"/>
        <w:rPr>
          <w:bCs/>
          <w:lang w:val="en-AU"/>
        </w:rPr>
      </w:pPr>
      <w:r w:rsidRPr="00D61701">
        <w:rPr>
          <w:bCs/>
          <w:lang w:val="en-AU"/>
        </w:rPr>
        <w:t>Key stakeholders include: people in survey, planning and quality offices; teaching and teaching support staff; people working in careers and student advisory and support roles; people in management and leadership positions; and students and recent graduates.</w:t>
      </w:r>
    </w:p>
    <w:p w:rsidR="00D61701" w:rsidRPr="00D61701" w:rsidRDefault="00D61701" w:rsidP="00155843">
      <w:pPr>
        <w:pStyle w:val="BodyText"/>
        <w:numPr>
          <w:ilvl w:val="0"/>
          <w:numId w:val="37"/>
        </w:numPr>
        <w:jc w:val="both"/>
        <w:rPr>
          <w:bCs/>
          <w:lang w:val="en-AU"/>
        </w:rPr>
      </w:pPr>
      <w:r w:rsidRPr="00D61701">
        <w:rPr>
          <w:bCs/>
          <w:lang w:val="en-AU"/>
        </w:rPr>
        <w:t>Such policies should take into account end users of data in addition to those people with direct involvement in managing and conducting surveys.</w:t>
      </w:r>
    </w:p>
    <w:p w:rsidR="00D61701" w:rsidRPr="00D61701" w:rsidRDefault="00D61701" w:rsidP="00155843">
      <w:pPr>
        <w:pStyle w:val="BodyText"/>
        <w:numPr>
          <w:ilvl w:val="0"/>
          <w:numId w:val="37"/>
        </w:numPr>
        <w:jc w:val="both"/>
        <w:rPr>
          <w:bCs/>
          <w:lang w:val="en-AU"/>
        </w:rPr>
      </w:pPr>
      <w:r w:rsidRPr="00D61701">
        <w:rPr>
          <w:bCs/>
          <w:lang w:val="en-AU"/>
        </w:rPr>
        <w:t>Feedback from the GCA surveys should be disseminated widely to all possible stakeholders within university communities. Reports should be tailored to the interests and needs of different stakeholders.</w:t>
      </w:r>
    </w:p>
    <w:p w:rsidR="00D61701" w:rsidRPr="00D61701" w:rsidRDefault="00D61701" w:rsidP="00155843">
      <w:pPr>
        <w:pStyle w:val="BodyText"/>
        <w:numPr>
          <w:ilvl w:val="0"/>
          <w:numId w:val="37"/>
        </w:numPr>
        <w:jc w:val="both"/>
        <w:rPr>
          <w:bCs/>
          <w:lang w:val="en-AU"/>
        </w:rPr>
      </w:pPr>
      <w:r w:rsidRPr="00D61701">
        <w:rPr>
          <w:bCs/>
          <w:lang w:val="en-AU"/>
        </w:rPr>
        <w:t>Institutions should assume that students very much want to provide feedback on their education and experience via surveys. They should work to endorse students as valuable stakeholders in these important aspects of university life.</w:t>
      </w:r>
    </w:p>
    <w:p w:rsidR="00D61701" w:rsidRPr="00D61701" w:rsidRDefault="00D61701" w:rsidP="00155843">
      <w:pPr>
        <w:pStyle w:val="BodyText"/>
        <w:numPr>
          <w:ilvl w:val="0"/>
          <w:numId w:val="37"/>
        </w:numPr>
        <w:jc w:val="both"/>
        <w:rPr>
          <w:bCs/>
          <w:lang w:val="en-AU"/>
        </w:rPr>
      </w:pPr>
      <w:r w:rsidRPr="00D61701">
        <w:rPr>
          <w:bCs/>
          <w:lang w:val="en-AU"/>
        </w:rPr>
        <w:t>Institutions should work to develop a range of ways for providing information about and feedback from surveys. The use of a range of means to promote the GCA surveys to students and graduates, keeping in mind those methods which are most likely to reach people, including posters around campus, emails from senior staff, announcements in lectures, articles in campus newspapers.</w:t>
      </w:r>
    </w:p>
    <w:p w:rsidR="00D61701" w:rsidRDefault="00D61701" w:rsidP="00155843">
      <w:pPr>
        <w:pStyle w:val="BodyText"/>
        <w:numPr>
          <w:ilvl w:val="0"/>
          <w:numId w:val="37"/>
        </w:numPr>
        <w:jc w:val="both"/>
        <w:rPr>
          <w:bCs/>
          <w:lang w:val="en-AU"/>
        </w:rPr>
      </w:pPr>
      <w:r w:rsidRPr="00D61701">
        <w:rPr>
          <w:bCs/>
          <w:lang w:val="en-AU"/>
        </w:rPr>
        <w:t>Institutions should adapt their marketing and dissemination of survey outcomes in ways that best communicate with different stakeholder groups.</w:t>
      </w:r>
    </w:p>
    <w:p w:rsidR="00AF198E" w:rsidRPr="00D61701" w:rsidRDefault="00D61701" w:rsidP="00155843">
      <w:pPr>
        <w:pStyle w:val="BodyText"/>
        <w:numPr>
          <w:ilvl w:val="0"/>
          <w:numId w:val="37"/>
        </w:numPr>
        <w:jc w:val="both"/>
        <w:rPr>
          <w:bCs/>
          <w:lang w:val="en-AU"/>
        </w:rPr>
      </w:pPr>
      <w:r w:rsidRPr="00D61701">
        <w:rPr>
          <w:bCs/>
          <w:lang w:val="en-AU"/>
        </w:rPr>
        <w:t>Institutions should promote the GCA national surveys to people before the surveys are distributed. There is considerable room for greater levels of promotion both before graduation, and between graduation and survey distribution</w:t>
      </w:r>
    </w:p>
    <w:p w:rsidR="00D61701" w:rsidRPr="00D61701" w:rsidRDefault="00D61701" w:rsidP="00155843">
      <w:pPr>
        <w:pStyle w:val="BodyText"/>
        <w:numPr>
          <w:ilvl w:val="0"/>
          <w:numId w:val="37"/>
        </w:numPr>
        <w:jc w:val="both"/>
        <w:rPr>
          <w:bCs/>
          <w:lang w:val="en-AU"/>
        </w:rPr>
      </w:pPr>
      <w:r w:rsidRPr="00D61701">
        <w:rPr>
          <w:bCs/>
          <w:lang w:val="en-AU"/>
        </w:rPr>
        <w:t>Institutions should contact graduates using methods which are most likely to secure a response, rather than methods which may be simply ready-to-hand such as university email. Institutions may need to develop systems to enhance their capacity to keep contact with graduates.</w:t>
      </w:r>
    </w:p>
    <w:p w:rsidR="00D61701" w:rsidRPr="00D61701" w:rsidRDefault="00D61701" w:rsidP="00155843">
      <w:pPr>
        <w:pStyle w:val="BodyText"/>
        <w:numPr>
          <w:ilvl w:val="0"/>
          <w:numId w:val="37"/>
        </w:numPr>
        <w:jc w:val="both"/>
        <w:rPr>
          <w:bCs/>
          <w:lang w:val="en-AU"/>
        </w:rPr>
      </w:pPr>
      <w:r w:rsidRPr="00D61701">
        <w:rPr>
          <w:bCs/>
          <w:lang w:val="en-AU"/>
        </w:rPr>
        <w:t>Institutions should take steps to confirm that people in the GCA national survey population have in fact received a form. This might involve follow-up calls, using multiple methods for distributing forms, or validating contact lists prior to survey distribution.</w:t>
      </w:r>
    </w:p>
    <w:p w:rsidR="00D61701" w:rsidRPr="00D61701" w:rsidRDefault="00D61701" w:rsidP="00155843">
      <w:pPr>
        <w:pStyle w:val="BodyText"/>
        <w:numPr>
          <w:ilvl w:val="0"/>
          <w:numId w:val="37"/>
        </w:numPr>
        <w:jc w:val="both"/>
        <w:rPr>
          <w:bCs/>
          <w:lang w:val="en-AU"/>
        </w:rPr>
      </w:pPr>
      <w:r w:rsidRPr="00D61701">
        <w:rPr>
          <w:bCs/>
          <w:lang w:val="en-AU"/>
        </w:rPr>
        <w:t>Institutions may need to develop systems to enhance their capacity to keep contact with graduates.</w:t>
      </w:r>
    </w:p>
    <w:p w:rsidR="00155843" w:rsidRPr="00155843" w:rsidRDefault="00155843" w:rsidP="00155843">
      <w:pPr>
        <w:pStyle w:val="BodyText"/>
        <w:numPr>
          <w:ilvl w:val="0"/>
          <w:numId w:val="37"/>
        </w:numPr>
        <w:jc w:val="both"/>
        <w:rPr>
          <w:bCs/>
          <w:lang w:val="en-AU"/>
        </w:rPr>
      </w:pPr>
      <w:r w:rsidRPr="00155843">
        <w:rPr>
          <w:bCs/>
          <w:lang w:val="en-AU"/>
        </w:rPr>
        <w:t>Institutions should enhance the appearance and content and impact of survey materials to better capture potential respondents’ attention.</w:t>
      </w:r>
    </w:p>
    <w:p w:rsidR="00155843" w:rsidRPr="00155843" w:rsidRDefault="00155843" w:rsidP="00155843">
      <w:pPr>
        <w:pStyle w:val="BodyText"/>
        <w:numPr>
          <w:ilvl w:val="0"/>
          <w:numId w:val="37"/>
        </w:numPr>
        <w:jc w:val="both"/>
        <w:rPr>
          <w:bCs/>
          <w:lang w:val="en-AU"/>
        </w:rPr>
      </w:pPr>
      <w:r w:rsidRPr="00155843">
        <w:rPr>
          <w:bCs/>
          <w:lang w:val="en-AU"/>
        </w:rPr>
        <w:t>Institutions should focus on enhancing the significance and authority of the GCA national surveys for graduates. Even after the initial distribution, institutions need to actively develop the significance and authority of the survey forms in ways which inspire graduates to complete the forms. They should offer potential respondents clear and compelling reasons why their input into the surveys makes a valuable contribution to their university and to them as individuals.</w:t>
      </w:r>
    </w:p>
    <w:p w:rsidR="00155843" w:rsidRPr="00155843" w:rsidRDefault="00155843" w:rsidP="00155843">
      <w:pPr>
        <w:pStyle w:val="BodyText"/>
        <w:numPr>
          <w:ilvl w:val="0"/>
          <w:numId w:val="37"/>
        </w:numPr>
        <w:jc w:val="both"/>
        <w:rPr>
          <w:bCs/>
          <w:lang w:val="en-AU"/>
        </w:rPr>
      </w:pPr>
      <w:r w:rsidRPr="00155843">
        <w:rPr>
          <w:bCs/>
          <w:lang w:val="en-AU"/>
        </w:rPr>
        <w:t>Institutions should inform graduates about the value and treatment of survey data. This might involve informing them of privacy, confidentiality, or other human-ethics related issues.</w:t>
      </w:r>
    </w:p>
    <w:p w:rsidR="00BB00A5" w:rsidRDefault="00BB00A5" w:rsidP="00155843">
      <w:pPr>
        <w:pStyle w:val="BodyText"/>
        <w:jc w:val="both"/>
      </w:pPr>
    </w:p>
    <w:p w:rsidR="00BB00A5" w:rsidRDefault="00AF198E" w:rsidP="00155843">
      <w:pPr>
        <w:pStyle w:val="BodyText"/>
        <w:jc w:val="both"/>
      </w:pPr>
      <w:r>
        <w:t>GCA</w:t>
      </w:r>
      <w:r w:rsidR="00BB00A5">
        <w:t xml:space="preserve"> would encourage institutions to re-evaluate their survey protocol</w:t>
      </w:r>
      <w:r w:rsidR="00155843">
        <w:t>s</w:t>
      </w:r>
      <w:r w:rsidR="00AD16C2">
        <w:t xml:space="preserve"> and, where possible incorporate those strategies that are not already part of the survey process</w:t>
      </w:r>
      <w:r w:rsidR="00155843">
        <w:t xml:space="preserve">.  Should institutions wish to use incentives to encourage responses, GCA recommends modest rewards, but larger in number. It is recommended that survey resources be focused on implementing a holistic approach (as described above), rather than single high value lottery incentives. </w:t>
      </w:r>
    </w:p>
    <w:p w:rsidR="00874EF6" w:rsidRDefault="00156602" w:rsidP="00155843">
      <w:pPr>
        <w:pStyle w:val="BodyText"/>
        <w:jc w:val="both"/>
      </w:pPr>
      <w:r>
        <w:t>However, it is recognised that some institutions might see value in offering incentives, particularly those which encourage quick response</w:t>
      </w:r>
      <w:r w:rsidR="00A3034C">
        <w:t>, for example,</w:t>
      </w:r>
      <w:r>
        <w:t xml:space="preserve"> by a certain date.</w:t>
      </w:r>
      <w:r w:rsidR="00A3034C">
        <w:t xml:space="preserve"> Speeding response can assist Survey Managers in managing their AGS administration.</w:t>
      </w:r>
    </w:p>
    <w:p w:rsidR="00D756BD" w:rsidRDefault="00D756BD" w:rsidP="00155843">
      <w:pPr>
        <w:pStyle w:val="BodyText"/>
        <w:jc w:val="both"/>
        <w:rPr>
          <w:b/>
          <w:i/>
        </w:rPr>
      </w:pPr>
    </w:p>
    <w:p w:rsidR="00874EF6" w:rsidRPr="00874EF6" w:rsidRDefault="00537C91" w:rsidP="00155843">
      <w:pPr>
        <w:pStyle w:val="BodyText"/>
        <w:jc w:val="both"/>
        <w:rPr>
          <w:b/>
          <w:i/>
        </w:rPr>
      </w:pPr>
      <w:r w:rsidRPr="00537C91">
        <w:rPr>
          <w:b/>
          <w:i/>
        </w:rPr>
        <w:t>Recommendation to SRG</w:t>
      </w:r>
    </w:p>
    <w:p w:rsidR="005644C2" w:rsidRDefault="009128BD">
      <w:pPr>
        <w:pStyle w:val="BodyText"/>
        <w:numPr>
          <w:ilvl w:val="0"/>
          <w:numId w:val="44"/>
        </w:numPr>
        <w:rPr>
          <w:i/>
          <w:sz w:val="18"/>
          <w:szCs w:val="18"/>
        </w:rPr>
      </w:pPr>
      <w:r>
        <w:rPr>
          <w:i/>
          <w:sz w:val="18"/>
          <w:szCs w:val="18"/>
        </w:rPr>
        <w:t>That GCA develops this information to form an advisory document  on incentives for Survey Managers</w:t>
      </w:r>
    </w:p>
    <w:p w:rsidR="005644C2" w:rsidRDefault="00537C91">
      <w:pPr>
        <w:pStyle w:val="BodyText"/>
        <w:numPr>
          <w:ilvl w:val="0"/>
          <w:numId w:val="44"/>
        </w:numPr>
        <w:rPr>
          <w:i/>
          <w:sz w:val="18"/>
          <w:szCs w:val="18"/>
        </w:rPr>
      </w:pPr>
      <w:r w:rsidRPr="00537C91">
        <w:rPr>
          <w:i/>
          <w:sz w:val="18"/>
          <w:szCs w:val="18"/>
        </w:rPr>
        <w:t>In terms of the way in which incentives are offered, we recommend that the SRG considers additions to the communications protocols (developed by the SRG in 2008, see the October 2008 AGS Manual) to ensure that institutions are communicating appropriately with AGS subjects, using best practice and avoiding usage which might be seen as influencing the graduate’s response. These additional protocols could include</w:t>
      </w:r>
      <w:r w:rsidR="00D756BD">
        <w:rPr>
          <w:i/>
          <w:sz w:val="18"/>
          <w:szCs w:val="18"/>
        </w:rPr>
        <w:t>:</w:t>
      </w:r>
    </w:p>
    <w:p w:rsidR="005644C2" w:rsidRDefault="00537C91">
      <w:pPr>
        <w:pStyle w:val="BodyText"/>
        <w:numPr>
          <w:ilvl w:val="0"/>
          <w:numId w:val="43"/>
        </w:numPr>
        <w:rPr>
          <w:i/>
          <w:sz w:val="18"/>
          <w:szCs w:val="18"/>
        </w:rPr>
      </w:pPr>
      <w:r w:rsidRPr="00537C91">
        <w:rPr>
          <w:i/>
          <w:sz w:val="18"/>
          <w:szCs w:val="18"/>
        </w:rPr>
        <w:t>The incentive should only be an encouragement to the subject to respond to the AGS.</w:t>
      </w:r>
    </w:p>
    <w:p w:rsidR="005553B0" w:rsidRDefault="005553B0">
      <w:pPr>
        <w:pStyle w:val="BodyText"/>
        <w:numPr>
          <w:ilvl w:val="0"/>
          <w:numId w:val="43"/>
        </w:numPr>
        <w:rPr>
          <w:i/>
          <w:sz w:val="18"/>
          <w:szCs w:val="18"/>
        </w:rPr>
      </w:pPr>
      <w:r>
        <w:rPr>
          <w:i/>
          <w:sz w:val="18"/>
          <w:szCs w:val="18"/>
        </w:rPr>
        <w:t>The incentive could be a monetary or non-monetary reward presented as a token of appreciation for completing the survey.</w:t>
      </w:r>
    </w:p>
    <w:p w:rsidR="005644C2" w:rsidRDefault="00537C91">
      <w:pPr>
        <w:pStyle w:val="BodyText"/>
        <w:numPr>
          <w:ilvl w:val="0"/>
          <w:numId w:val="42"/>
        </w:numPr>
        <w:rPr>
          <w:i/>
          <w:sz w:val="18"/>
          <w:szCs w:val="18"/>
        </w:rPr>
      </w:pPr>
      <w:r w:rsidRPr="00537C91">
        <w:rPr>
          <w:i/>
          <w:sz w:val="18"/>
          <w:szCs w:val="18"/>
        </w:rPr>
        <w:t>The incentive should not be capable of being construed as encouraging more positive responses to (for example) the CEQ and PREQ.</w:t>
      </w:r>
    </w:p>
    <w:p w:rsidR="005644C2" w:rsidRDefault="00537C91">
      <w:pPr>
        <w:pStyle w:val="BodyText"/>
        <w:numPr>
          <w:ilvl w:val="0"/>
          <w:numId w:val="42"/>
        </w:numPr>
        <w:rPr>
          <w:i/>
          <w:sz w:val="18"/>
          <w:szCs w:val="18"/>
        </w:rPr>
      </w:pPr>
      <w:r w:rsidRPr="00537C91">
        <w:rPr>
          <w:i/>
          <w:sz w:val="18"/>
          <w:szCs w:val="18"/>
        </w:rPr>
        <w:t>Th</w:t>
      </w:r>
      <w:r w:rsidR="005553B0">
        <w:rPr>
          <w:i/>
          <w:sz w:val="18"/>
          <w:szCs w:val="18"/>
        </w:rPr>
        <w:t xml:space="preserve">e incentive should be offered </w:t>
      </w:r>
      <w:r w:rsidR="00160DB8">
        <w:rPr>
          <w:i/>
          <w:sz w:val="18"/>
          <w:szCs w:val="18"/>
        </w:rPr>
        <w:t xml:space="preserve">via </w:t>
      </w:r>
      <w:r w:rsidR="005553B0">
        <w:rPr>
          <w:i/>
          <w:sz w:val="18"/>
          <w:szCs w:val="18"/>
        </w:rPr>
        <w:t>the</w:t>
      </w:r>
      <w:r w:rsidRPr="00537C91">
        <w:rPr>
          <w:i/>
          <w:sz w:val="18"/>
          <w:szCs w:val="18"/>
        </w:rPr>
        <w:t xml:space="preserve"> covering </w:t>
      </w:r>
      <w:r w:rsidR="005553B0">
        <w:rPr>
          <w:i/>
          <w:sz w:val="18"/>
          <w:szCs w:val="18"/>
        </w:rPr>
        <w:t xml:space="preserve">letter (or email) </w:t>
      </w:r>
      <w:r w:rsidRPr="00537C91">
        <w:rPr>
          <w:i/>
          <w:sz w:val="18"/>
          <w:szCs w:val="18"/>
        </w:rPr>
        <w:t>and not on the survey instrument itself.</w:t>
      </w:r>
    </w:p>
    <w:p w:rsidR="005644C2" w:rsidRDefault="00537C91">
      <w:pPr>
        <w:pStyle w:val="BodyText"/>
        <w:numPr>
          <w:ilvl w:val="0"/>
          <w:numId w:val="42"/>
        </w:numPr>
        <w:rPr>
          <w:i/>
          <w:sz w:val="18"/>
          <w:szCs w:val="18"/>
        </w:rPr>
      </w:pPr>
      <w:r w:rsidRPr="00537C91">
        <w:rPr>
          <w:i/>
          <w:sz w:val="18"/>
          <w:szCs w:val="18"/>
        </w:rPr>
        <w:t>Survey Managers should be aware that there is differing legislation across States and Territories regarding the offering of prizes.</w:t>
      </w:r>
    </w:p>
    <w:p w:rsidR="005553B0" w:rsidRDefault="005553B0" w:rsidP="00D11765">
      <w:pPr>
        <w:pStyle w:val="BodyText"/>
        <w:rPr>
          <w:sz w:val="18"/>
          <w:szCs w:val="18"/>
        </w:rPr>
      </w:pPr>
    </w:p>
    <w:p w:rsidR="005553B0" w:rsidRPr="003354E9" w:rsidRDefault="005553B0" w:rsidP="00D11765">
      <w:pPr>
        <w:pStyle w:val="BodyText"/>
        <w:rPr>
          <w:sz w:val="18"/>
          <w:szCs w:val="18"/>
        </w:rPr>
      </w:pPr>
    </w:p>
    <w:p w:rsidR="00D11765" w:rsidRPr="00D11765" w:rsidRDefault="00D11765" w:rsidP="00D11765">
      <w:pPr>
        <w:pStyle w:val="Heading1"/>
        <w:jc w:val="both"/>
      </w:pPr>
      <w:r w:rsidRPr="00D11765">
        <w:t>References</w:t>
      </w:r>
    </w:p>
    <w:p w:rsidR="00D11765" w:rsidRDefault="00D11765" w:rsidP="00D11765">
      <w:pPr>
        <w:autoSpaceDE w:val="0"/>
        <w:autoSpaceDN w:val="0"/>
        <w:adjustRightInd w:val="0"/>
        <w:ind w:left="0"/>
        <w:rPr>
          <w:spacing w:val="10"/>
          <w:sz w:val="17"/>
        </w:rPr>
      </w:pPr>
    </w:p>
    <w:p w:rsidR="005644C2" w:rsidRPr="005644C2" w:rsidRDefault="005644C2" w:rsidP="005644C2">
      <w:pPr>
        <w:autoSpaceDE w:val="0"/>
        <w:autoSpaceDN w:val="0"/>
        <w:adjustRightInd w:val="0"/>
        <w:ind w:left="0"/>
        <w:jc w:val="both"/>
        <w:rPr>
          <w:spacing w:val="10"/>
          <w:sz w:val="17"/>
          <w:lang w:val="en-AU"/>
        </w:rPr>
      </w:pPr>
      <w:r w:rsidRPr="005644C2">
        <w:rPr>
          <w:spacing w:val="10"/>
          <w:sz w:val="17"/>
          <w:lang w:val="en-AU"/>
        </w:rPr>
        <w:t>Atrostic, B. K., Bates, N., Burt, G., and Silberstein, A.</w:t>
      </w:r>
      <w:r w:rsidR="00284C8F">
        <w:rPr>
          <w:spacing w:val="10"/>
          <w:sz w:val="17"/>
          <w:lang w:val="en-AU"/>
        </w:rPr>
        <w:t>,</w:t>
      </w:r>
      <w:r w:rsidR="00890735">
        <w:rPr>
          <w:spacing w:val="10"/>
          <w:sz w:val="17"/>
          <w:lang w:val="en-AU"/>
        </w:rPr>
        <w:t xml:space="preserve"> (2001).</w:t>
      </w:r>
      <w:r w:rsidR="00284C8F">
        <w:rPr>
          <w:spacing w:val="10"/>
          <w:sz w:val="17"/>
          <w:lang w:val="en-AU"/>
        </w:rPr>
        <w:t xml:space="preserve"> </w:t>
      </w:r>
      <w:r w:rsidRPr="005644C2">
        <w:rPr>
          <w:spacing w:val="10"/>
          <w:sz w:val="17"/>
          <w:lang w:val="en-AU"/>
        </w:rPr>
        <w:t>Non</w:t>
      </w:r>
      <w:r>
        <w:rPr>
          <w:spacing w:val="10"/>
          <w:sz w:val="17"/>
          <w:lang w:val="en-AU"/>
        </w:rPr>
        <w:t>-</w:t>
      </w:r>
      <w:r w:rsidRPr="005644C2">
        <w:rPr>
          <w:spacing w:val="10"/>
          <w:sz w:val="17"/>
          <w:lang w:val="en-AU"/>
        </w:rPr>
        <w:t>response in U.S. Government</w:t>
      </w:r>
      <w:r>
        <w:rPr>
          <w:spacing w:val="10"/>
          <w:sz w:val="17"/>
          <w:lang w:val="en-AU"/>
        </w:rPr>
        <w:t xml:space="preserve"> </w:t>
      </w:r>
      <w:r w:rsidRPr="005644C2">
        <w:rPr>
          <w:spacing w:val="10"/>
          <w:sz w:val="17"/>
          <w:lang w:val="en-AU"/>
        </w:rPr>
        <w:t>Household Surveys: Consistent Measures, R</w:t>
      </w:r>
      <w:r w:rsidR="00284C8F">
        <w:rPr>
          <w:spacing w:val="10"/>
          <w:sz w:val="17"/>
          <w:lang w:val="en-AU"/>
        </w:rPr>
        <w:t>ecent Trends, and New Insights.</w:t>
      </w:r>
      <w:r w:rsidRPr="005644C2">
        <w:rPr>
          <w:spacing w:val="10"/>
          <w:sz w:val="17"/>
          <w:lang w:val="en-AU"/>
        </w:rPr>
        <w:t xml:space="preserve"> </w:t>
      </w:r>
      <w:r w:rsidRPr="005644C2">
        <w:rPr>
          <w:i/>
          <w:iCs/>
          <w:spacing w:val="10"/>
          <w:sz w:val="17"/>
          <w:lang w:val="en-AU"/>
        </w:rPr>
        <w:t>Journal</w:t>
      </w:r>
      <w:r>
        <w:rPr>
          <w:i/>
          <w:iCs/>
          <w:spacing w:val="10"/>
          <w:sz w:val="17"/>
          <w:lang w:val="en-AU"/>
        </w:rPr>
        <w:t xml:space="preserve"> </w:t>
      </w:r>
      <w:r w:rsidRPr="005644C2">
        <w:rPr>
          <w:i/>
          <w:iCs/>
          <w:spacing w:val="10"/>
          <w:sz w:val="17"/>
          <w:lang w:val="en-AU"/>
        </w:rPr>
        <w:t>of Official Statistics,</w:t>
      </w:r>
      <w:r w:rsidRPr="005644C2">
        <w:rPr>
          <w:spacing w:val="10"/>
          <w:sz w:val="17"/>
          <w:lang w:val="en-AU"/>
        </w:rPr>
        <w:t xml:space="preserve"> </w:t>
      </w:r>
      <w:r w:rsidRPr="005644C2">
        <w:rPr>
          <w:i/>
          <w:iCs/>
          <w:spacing w:val="10"/>
          <w:sz w:val="17"/>
          <w:lang w:val="en-AU"/>
        </w:rPr>
        <w:t>17</w:t>
      </w:r>
      <w:r w:rsidRPr="005644C2">
        <w:rPr>
          <w:spacing w:val="10"/>
          <w:sz w:val="17"/>
          <w:lang w:val="en-AU"/>
        </w:rPr>
        <w:t>(2), 209–226.</w:t>
      </w:r>
    </w:p>
    <w:p w:rsidR="005644C2" w:rsidRDefault="005644C2" w:rsidP="00D11765">
      <w:pPr>
        <w:autoSpaceDE w:val="0"/>
        <w:autoSpaceDN w:val="0"/>
        <w:adjustRightInd w:val="0"/>
        <w:ind w:left="0"/>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Boynton, M.</w:t>
      </w:r>
      <w:r w:rsidR="00284C8F">
        <w:rPr>
          <w:spacing w:val="10"/>
          <w:sz w:val="17"/>
        </w:rPr>
        <w:t>,</w:t>
      </w:r>
      <w:r w:rsidRPr="00E12431">
        <w:rPr>
          <w:spacing w:val="10"/>
          <w:sz w:val="17"/>
        </w:rPr>
        <w:t xml:space="preserve"> (1995). Results of a mail survey of department of licensing customers on</w:t>
      </w:r>
      <w:r>
        <w:rPr>
          <w:spacing w:val="10"/>
          <w:sz w:val="17"/>
        </w:rPr>
        <w:t xml:space="preserve"> </w:t>
      </w:r>
      <w:r w:rsidRPr="00E12431">
        <w:rPr>
          <w:spacing w:val="10"/>
          <w:sz w:val="17"/>
        </w:rPr>
        <w:t>service satisfaction and preference (Data Report No. 9559).</w:t>
      </w:r>
    </w:p>
    <w:p w:rsidR="00D11765" w:rsidRDefault="00D11765"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Church, A.</w:t>
      </w:r>
      <w:r w:rsidR="00284C8F">
        <w:rPr>
          <w:spacing w:val="10"/>
          <w:sz w:val="17"/>
        </w:rPr>
        <w:t>,</w:t>
      </w:r>
      <w:r w:rsidRPr="00E12431">
        <w:rPr>
          <w:spacing w:val="10"/>
          <w:sz w:val="17"/>
        </w:rPr>
        <w:t xml:space="preserve"> (1993). Incentives in mail surveys: A meta</w:t>
      </w:r>
      <w:r w:rsidR="00BB022C">
        <w:rPr>
          <w:spacing w:val="10"/>
          <w:sz w:val="17"/>
        </w:rPr>
        <w:t>-</w:t>
      </w:r>
      <w:r w:rsidRPr="00E12431">
        <w:rPr>
          <w:spacing w:val="10"/>
          <w:sz w:val="17"/>
        </w:rPr>
        <w:t>analysis.</w:t>
      </w:r>
      <w:r>
        <w:rPr>
          <w:spacing w:val="10"/>
          <w:sz w:val="17"/>
        </w:rPr>
        <w:t xml:space="preserve"> </w:t>
      </w:r>
      <w:r w:rsidRPr="00E12431">
        <w:rPr>
          <w:spacing w:val="10"/>
          <w:sz w:val="17"/>
        </w:rPr>
        <w:t>Public Opinion Quarterly,</w:t>
      </w:r>
      <w:r>
        <w:rPr>
          <w:spacing w:val="10"/>
          <w:sz w:val="17"/>
        </w:rPr>
        <w:t xml:space="preserve"> </w:t>
      </w:r>
      <w:r w:rsidRPr="00E12431">
        <w:rPr>
          <w:spacing w:val="10"/>
          <w:sz w:val="17"/>
        </w:rPr>
        <w:t>57, 6279.</w:t>
      </w:r>
    </w:p>
    <w:p w:rsidR="00D11765" w:rsidRDefault="00D11765"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Coates, H.</w:t>
      </w:r>
      <w:r w:rsidR="00284C8F">
        <w:rPr>
          <w:spacing w:val="10"/>
          <w:sz w:val="17"/>
        </w:rPr>
        <w:t>,</w:t>
      </w:r>
      <w:r w:rsidRPr="00E12431">
        <w:rPr>
          <w:spacing w:val="10"/>
          <w:sz w:val="17"/>
        </w:rPr>
        <w:t xml:space="preserve"> (</w:t>
      </w:r>
      <w:r w:rsidR="00BB00A5">
        <w:rPr>
          <w:spacing w:val="10"/>
          <w:sz w:val="17"/>
        </w:rPr>
        <w:t>2006</w:t>
      </w:r>
      <w:r w:rsidRPr="00E12431">
        <w:rPr>
          <w:spacing w:val="10"/>
          <w:sz w:val="17"/>
        </w:rPr>
        <w:t xml:space="preserve">). </w:t>
      </w:r>
      <w:r w:rsidR="00B5189C">
        <w:rPr>
          <w:spacing w:val="10"/>
          <w:sz w:val="17"/>
        </w:rPr>
        <w:t>Enhancing the GCA N</w:t>
      </w:r>
      <w:r w:rsidR="005553B0">
        <w:rPr>
          <w:spacing w:val="10"/>
          <w:sz w:val="17"/>
        </w:rPr>
        <w:t>ational Surveys: An examination</w:t>
      </w:r>
      <w:r w:rsidR="00B5189C">
        <w:rPr>
          <w:spacing w:val="10"/>
          <w:sz w:val="17"/>
        </w:rPr>
        <w:t xml:space="preserve"> of critical factors leading to enhancements in the instrument, methodology and process. GCA</w:t>
      </w:r>
    </w:p>
    <w:p w:rsidR="00BB022C" w:rsidRDefault="00BB022C"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Dillman, D.</w:t>
      </w:r>
      <w:r w:rsidR="00890735">
        <w:rPr>
          <w:spacing w:val="10"/>
          <w:sz w:val="17"/>
        </w:rPr>
        <w:t>A.</w:t>
      </w:r>
      <w:r w:rsidR="00284C8F">
        <w:rPr>
          <w:spacing w:val="10"/>
          <w:sz w:val="17"/>
        </w:rPr>
        <w:t>,</w:t>
      </w:r>
      <w:r w:rsidRPr="00E12431">
        <w:rPr>
          <w:spacing w:val="10"/>
          <w:sz w:val="17"/>
        </w:rPr>
        <w:t xml:space="preserve"> (2000). Mail and Internet Surveys: The Tailored Design Method (2 nd edition).</w:t>
      </w:r>
      <w:r>
        <w:rPr>
          <w:spacing w:val="10"/>
          <w:sz w:val="17"/>
        </w:rPr>
        <w:t xml:space="preserve"> </w:t>
      </w:r>
      <w:r w:rsidRPr="00E12431">
        <w:rPr>
          <w:spacing w:val="10"/>
          <w:sz w:val="17"/>
        </w:rPr>
        <w:t>New York: John Wiley.</w:t>
      </w:r>
    </w:p>
    <w:p w:rsidR="00D11765" w:rsidRDefault="00D11765"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 xml:space="preserve">Dillman, D.A, Clark, J.R., </w:t>
      </w:r>
      <w:r w:rsidR="00A23BE6">
        <w:rPr>
          <w:spacing w:val="10"/>
          <w:sz w:val="17"/>
        </w:rPr>
        <w:t>and</w:t>
      </w:r>
      <w:r w:rsidRPr="00E12431">
        <w:rPr>
          <w:spacing w:val="10"/>
          <w:sz w:val="17"/>
        </w:rPr>
        <w:t xml:space="preserve"> Sinclair, M.A.</w:t>
      </w:r>
      <w:r w:rsidR="00284C8F">
        <w:rPr>
          <w:spacing w:val="10"/>
          <w:sz w:val="17"/>
        </w:rPr>
        <w:t>,</w:t>
      </w:r>
      <w:r w:rsidRPr="00E12431">
        <w:rPr>
          <w:spacing w:val="10"/>
          <w:sz w:val="17"/>
        </w:rPr>
        <w:t xml:space="preserve"> (1995). How prenotice letters, stamped return</w:t>
      </w:r>
      <w:r>
        <w:rPr>
          <w:spacing w:val="10"/>
          <w:sz w:val="17"/>
        </w:rPr>
        <w:t xml:space="preserve"> </w:t>
      </w:r>
      <w:r w:rsidRPr="00E12431">
        <w:rPr>
          <w:spacing w:val="10"/>
          <w:sz w:val="17"/>
        </w:rPr>
        <w:t xml:space="preserve">envelopes, and reminder postcards affect mailback </w:t>
      </w:r>
      <w:r>
        <w:rPr>
          <w:spacing w:val="10"/>
          <w:sz w:val="17"/>
        </w:rPr>
        <w:t>r</w:t>
      </w:r>
      <w:r w:rsidRPr="00E12431">
        <w:rPr>
          <w:spacing w:val="10"/>
          <w:sz w:val="17"/>
        </w:rPr>
        <w:t>esponse rates for census</w:t>
      </w:r>
      <w:r>
        <w:rPr>
          <w:spacing w:val="10"/>
          <w:sz w:val="17"/>
        </w:rPr>
        <w:t xml:space="preserve"> </w:t>
      </w:r>
      <w:r w:rsidRPr="00E12431">
        <w:rPr>
          <w:spacing w:val="10"/>
          <w:sz w:val="17"/>
        </w:rPr>
        <w:t>questionnaires. Survey Methodology, 21,1–7.</w:t>
      </w:r>
    </w:p>
    <w:p w:rsidR="00D11765" w:rsidRDefault="00D11765" w:rsidP="00D11765">
      <w:pPr>
        <w:autoSpaceDE w:val="0"/>
        <w:autoSpaceDN w:val="0"/>
        <w:adjustRightInd w:val="0"/>
        <w:ind w:left="0"/>
        <w:jc w:val="both"/>
        <w:rPr>
          <w:spacing w:val="10"/>
          <w:sz w:val="17"/>
        </w:rPr>
      </w:pPr>
    </w:p>
    <w:p w:rsidR="00D11765" w:rsidRDefault="00D11765" w:rsidP="00D11765">
      <w:pPr>
        <w:autoSpaceDE w:val="0"/>
        <w:autoSpaceDN w:val="0"/>
        <w:adjustRightInd w:val="0"/>
        <w:ind w:left="0"/>
        <w:jc w:val="both"/>
        <w:rPr>
          <w:spacing w:val="10"/>
          <w:sz w:val="17"/>
        </w:rPr>
      </w:pPr>
      <w:r w:rsidRPr="00E12431">
        <w:rPr>
          <w:spacing w:val="10"/>
          <w:sz w:val="17"/>
        </w:rPr>
        <w:t xml:space="preserve">Dommeyer, C.J., Elganayan, D., </w:t>
      </w:r>
      <w:r w:rsidR="00A23BE6">
        <w:rPr>
          <w:spacing w:val="10"/>
          <w:sz w:val="17"/>
        </w:rPr>
        <w:t>and</w:t>
      </w:r>
      <w:r w:rsidRPr="00E12431">
        <w:rPr>
          <w:spacing w:val="10"/>
          <w:sz w:val="17"/>
        </w:rPr>
        <w:t xml:space="preserve"> Umans, C.</w:t>
      </w:r>
      <w:r w:rsidR="00284C8F">
        <w:rPr>
          <w:spacing w:val="10"/>
          <w:sz w:val="17"/>
        </w:rPr>
        <w:t>,</w:t>
      </w:r>
      <w:r w:rsidRPr="00E12431">
        <w:rPr>
          <w:spacing w:val="10"/>
          <w:sz w:val="17"/>
        </w:rPr>
        <w:t xml:space="preserve"> (1991). Increasing mail survey response</w:t>
      </w:r>
      <w:r>
        <w:rPr>
          <w:spacing w:val="10"/>
          <w:sz w:val="17"/>
        </w:rPr>
        <w:t xml:space="preserve"> </w:t>
      </w:r>
      <w:r w:rsidRPr="00E12431">
        <w:rPr>
          <w:spacing w:val="10"/>
          <w:sz w:val="17"/>
        </w:rPr>
        <w:t>with an envelope teaser. Journal of the Marketing Research Society, 33,13740.</w:t>
      </w:r>
      <w:r w:rsidR="00284C8F">
        <w:rPr>
          <w:spacing w:val="10"/>
          <w:sz w:val="17"/>
        </w:rPr>
        <w:t xml:space="preserve"> </w:t>
      </w:r>
    </w:p>
    <w:p w:rsidR="00284C8F" w:rsidRPr="00E12431" w:rsidRDefault="00284C8F" w:rsidP="00D11765">
      <w:pPr>
        <w:autoSpaceDE w:val="0"/>
        <w:autoSpaceDN w:val="0"/>
        <w:adjustRightInd w:val="0"/>
        <w:ind w:left="0"/>
        <w:jc w:val="both"/>
        <w:rPr>
          <w:spacing w:val="10"/>
          <w:sz w:val="17"/>
        </w:rPr>
      </w:pPr>
    </w:p>
    <w:p w:rsidR="00284C8F" w:rsidRPr="00284C8F" w:rsidRDefault="00284C8F" w:rsidP="00284C8F">
      <w:pPr>
        <w:autoSpaceDE w:val="0"/>
        <w:autoSpaceDN w:val="0"/>
        <w:adjustRightInd w:val="0"/>
        <w:ind w:left="0"/>
        <w:jc w:val="both"/>
        <w:rPr>
          <w:i/>
          <w:iCs/>
          <w:spacing w:val="10"/>
          <w:sz w:val="17"/>
          <w:lang w:val="en-AU"/>
        </w:rPr>
      </w:pPr>
      <w:r w:rsidRPr="00284C8F">
        <w:rPr>
          <w:spacing w:val="10"/>
          <w:sz w:val="17"/>
          <w:lang w:val="en-AU"/>
        </w:rPr>
        <w:t>Fox, R. J., Crask, M. R., and Kim, J.</w:t>
      </w:r>
      <w:r>
        <w:rPr>
          <w:spacing w:val="10"/>
          <w:sz w:val="17"/>
          <w:lang w:val="en-AU"/>
        </w:rPr>
        <w:t>,</w:t>
      </w:r>
      <w:r w:rsidRPr="00284C8F">
        <w:rPr>
          <w:spacing w:val="10"/>
          <w:sz w:val="17"/>
          <w:lang w:val="en-AU"/>
        </w:rPr>
        <w:t xml:space="preserve"> </w:t>
      </w:r>
      <w:r>
        <w:rPr>
          <w:spacing w:val="10"/>
          <w:sz w:val="17"/>
          <w:lang w:val="en-AU"/>
        </w:rPr>
        <w:t>(</w:t>
      </w:r>
      <w:r w:rsidRPr="00284C8F">
        <w:rPr>
          <w:spacing w:val="10"/>
          <w:sz w:val="17"/>
          <w:lang w:val="en-AU"/>
        </w:rPr>
        <w:t>1988</w:t>
      </w:r>
      <w:r>
        <w:rPr>
          <w:spacing w:val="10"/>
          <w:sz w:val="17"/>
          <w:lang w:val="en-AU"/>
        </w:rPr>
        <w:t xml:space="preserve">). </w:t>
      </w:r>
      <w:r w:rsidRPr="00284C8F">
        <w:rPr>
          <w:spacing w:val="10"/>
          <w:sz w:val="17"/>
          <w:lang w:val="en-AU"/>
        </w:rPr>
        <w:t>Mail Survey Response Rate: A Meta-analysis of</w:t>
      </w:r>
      <w:r>
        <w:rPr>
          <w:spacing w:val="10"/>
          <w:sz w:val="17"/>
          <w:lang w:val="en-AU"/>
        </w:rPr>
        <w:t xml:space="preserve"> </w:t>
      </w:r>
      <w:r w:rsidRPr="00284C8F">
        <w:rPr>
          <w:spacing w:val="10"/>
          <w:sz w:val="17"/>
          <w:lang w:val="en-AU"/>
        </w:rPr>
        <w:t xml:space="preserve">Selected Techniques for Inducing Response. </w:t>
      </w:r>
      <w:r w:rsidRPr="00284C8F">
        <w:rPr>
          <w:iCs/>
          <w:spacing w:val="10"/>
          <w:sz w:val="17"/>
          <w:lang w:val="en-AU"/>
        </w:rPr>
        <w:t>Public Opinion Quarterly,</w:t>
      </w:r>
      <w:r w:rsidRPr="00284C8F">
        <w:rPr>
          <w:spacing w:val="10"/>
          <w:sz w:val="17"/>
          <w:lang w:val="en-AU"/>
        </w:rPr>
        <w:t xml:space="preserve"> </w:t>
      </w:r>
      <w:r w:rsidRPr="00284C8F">
        <w:rPr>
          <w:iCs/>
          <w:spacing w:val="10"/>
          <w:sz w:val="17"/>
          <w:lang w:val="en-AU"/>
        </w:rPr>
        <w:t>52</w:t>
      </w:r>
      <w:r w:rsidRPr="00284C8F">
        <w:rPr>
          <w:i/>
          <w:iCs/>
          <w:spacing w:val="10"/>
          <w:sz w:val="17"/>
          <w:lang w:val="en-AU"/>
        </w:rPr>
        <w:t>,</w:t>
      </w:r>
    </w:p>
    <w:p w:rsidR="00284C8F" w:rsidRPr="00284C8F" w:rsidRDefault="00284C8F" w:rsidP="00284C8F">
      <w:pPr>
        <w:autoSpaceDE w:val="0"/>
        <w:autoSpaceDN w:val="0"/>
        <w:adjustRightInd w:val="0"/>
        <w:ind w:left="0"/>
        <w:jc w:val="both"/>
        <w:rPr>
          <w:spacing w:val="10"/>
          <w:sz w:val="17"/>
          <w:lang w:val="en-AU"/>
        </w:rPr>
      </w:pPr>
      <w:r w:rsidRPr="00284C8F">
        <w:rPr>
          <w:spacing w:val="10"/>
          <w:sz w:val="17"/>
          <w:lang w:val="en-AU"/>
        </w:rPr>
        <w:t>467–491.</w:t>
      </w:r>
    </w:p>
    <w:p w:rsidR="00890735" w:rsidRDefault="00890735" w:rsidP="00890735">
      <w:pPr>
        <w:autoSpaceDE w:val="0"/>
        <w:autoSpaceDN w:val="0"/>
        <w:adjustRightInd w:val="0"/>
        <w:ind w:left="0"/>
        <w:jc w:val="both"/>
        <w:rPr>
          <w:spacing w:val="10"/>
          <w:sz w:val="17"/>
        </w:rPr>
      </w:pPr>
    </w:p>
    <w:p w:rsidR="00890735" w:rsidRPr="00821A94" w:rsidRDefault="00890735" w:rsidP="00890735">
      <w:pPr>
        <w:autoSpaceDE w:val="0"/>
        <w:autoSpaceDN w:val="0"/>
        <w:adjustRightInd w:val="0"/>
        <w:ind w:left="0"/>
        <w:jc w:val="both"/>
        <w:rPr>
          <w:spacing w:val="10"/>
          <w:sz w:val="17"/>
        </w:rPr>
      </w:pPr>
      <w:r w:rsidRPr="00821A94">
        <w:rPr>
          <w:spacing w:val="10"/>
          <w:sz w:val="17"/>
        </w:rPr>
        <w:t>Furse, D. H., and Stewart, D. W.</w:t>
      </w:r>
      <w:r w:rsidR="00284C8F">
        <w:rPr>
          <w:spacing w:val="10"/>
          <w:sz w:val="17"/>
        </w:rPr>
        <w:t>,</w:t>
      </w:r>
      <w:r w:rsidRPr="00821A94">
        <w:rPr>
          <w:spacing w:val="10"/>
          <w:sz w:val="17"/>
        </w:rPr>
        <w:t xml:space="preserve"> (1982). Monetary incentives versus promised contribution</w:t>
      </w:r>
      <w:r>
        <w:rPr>
          <w:spacing w:val="10"/>
          <w:sz w:val="17"/>
        </w:rPr>
        <w:t xml:space="preserve"> </w:t>
      </w:r>
      <w:r w:rsidRPr="00821A94">
        <w:rPr>
          <w:spacing w:val="10"/>
          <w:sz w:val="17"/>
        </w:rPr>
        <w:t xml:space="preserve">to charity: New evidence on mail survey response. </w:t>
      </w:r>
      <w:r w:rsidRPr="00DC2471">
        <w:rPr>
          <w:spacing w:val="10"/>
          <w:sz w:val="17"/>
        </w:rPr>
        <w:t xml:space="preserve">J. Mark. Res. 19: </w:t>
      </w:r>
      <w:r w:rsidRPr="00821A94">
        <w:rPr>
          <w:spacing w:val="10"/>
          <w:sz w:val="17"/>
        </w:rPr>
        <w:t>375–380.</w:t>
      </w:r>
    </w:p>
    <w:p w:rsidR="00D11765" w:rsidRDefault="00D11765" w:rsidP="00D11765">
      <w:pPr>
        <w:autoSpaceDE w:val="0"/>
        <w:autoSpaceDN w:val="0"/>
        <w:adjustRightInd w:val="0"/>
        <w:ind w:left="0"/>
        <w:jc w:val="both"/>
        <w:rPr>
          <w:spacing w:val="10"/>
          <w:sz w:val="17"/>
        </w:rPr>
      </w:pPr>
    </w:p>
    <w:p w:rsidR="00B5189C" w:rsidRDefault="00B5189C" w:rsidP="00D11765">
      <w:pPr>
        <w:autoSpaceDE w:val="0"/>
        <w:autoSpaceDN w:val="0"/>
        <w:adjustRightInd w:val="0"/>
        <w:ind w:left="0"/>
        <w:jc w:val="both"/>
        <w:rPr>
          <w:spacing w:val="10"/>
          <w:sz w:val="17"/>
        </w:rPr>
      </w:pPr>
      <w:r>
        <w:rPr>
          <w:spacing w:val="10"/>
          <w:sz w:val="17"/>
        </w:rPr>
        <w:t>GCA, (2008). AGS Survey Manual</w:t>
      </w:r>
      <w:r w:rsidR="005553B0">
        <w:rPr>
          <w:spacing w:val="10"/>
          <w:sz w:val="17"/>
        </w:rPr>
        <w:t xml:space="preserve"> 2</w:t>
      </w:r>
      <w:r>
        <w:rPr>
          <w:spacing w:val="10"/>
          <w:sz w:val="17"/>
        </w:rPr>
        <w:t xml:space="preserve">008. </w:t>
      </w:r>
    </w:p>
    <w:p w:rsidR="00B5189C" w:rsidRDefault="00B5189C" w:rsidP="00D11765">
      <w:pPr>
        <w:autoSpaceDE w:val="0"/>
        <w:autoSpaceDN w:val="0"/>
        <w:adjustRightInd w:val="0"/>
        <w:ind w:left="0"/>
        <w:jc w:val="both"/>
        <w:rPr>
          <w:spacing w:val="10"/>
          <w:sz w:val="17"/>
        </w:rPr>
      </w:pPr>
    </w:p>
    <w:p w:rsidR="00543EF4" w:rsidRDefault="00543EF4" w:rsidP="00D11765">
      <w:pPr>
        <w:autoSpaceDE w:val="0"/>
        <w:autoSpaceDN w:val="0"/>
        <w:adjustRightInd w:val="0"/>
        <w:ind w:left="0"/>
        <w:jc w:val="both"/>
        <w:rPr>
          <w:spacing w:val="10"/>
          <w:sz w:val="17"/>
        </w:rPr>
      </w:pPr>
      <w:r>
        <w:rPr>
          <w:spacing w:val="10"/>
          <w:sz w:val="17"/>
        </w:rPr>
        <w:t xml:space="preserve">Ginns, P. (2006). </w:t>
      </w:r>
      <w:r w:rsidRPr="00543EF4">
        <w:rPr>
          <w:spacing w:val="10"/>
          <w:sz w:val="17"/>
        </w:rPr>
        <w:t>Impact of an Emailed Prize Offer on Response Rate</w:t>
      </w:r>
      <w:r>
        <w:rPr>
          <w:spacing w:val="10"/>
          <w:sz w:val="17"/>
        </w:rPr>
        <w:t xml:space="preserve">. </w:t>
      </w:r>
      <w:r w:rsidRPr="00543EF4">
        <w:rPr>
          <w:spacing w:val="10"/>
          <w:sz w:val="17"/>
          <w:lang w:val="en-AU"/>
        </w:rPr>
        <w:t>Institute for Teaching and Learning</w:t>
      </w:r>
      <w:r>
        <w:rPr>
          <w:spacing w:val="10"/>
          <w:sz w:val="17"/>
          <w:lang w:val="en-AU"/>
        </w:rPr>
        <w:t>.</w:t>
      </w:r>
    </w:p>
    <w:p w:rsidR="00543EF4" w:rsidRDefault="00543EF4"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Green, J.M.</w:t>
      </w:r>
      <w:r w:rsidR="00284C8F">
        <w:rPr>
          <w:spacing w:val="10"/>
          <w:sz w:val="17"/>
        </w:rPr>
        <w:t>,</w:t>
      </w:r>
      <w:r w:rsidRPr="00E12431">
        <w:rPr>
          <w:spacing w:val="10"/>
          <w:sz w:val="17"/>
        </w:rPr>
        <w:t xml:space="preserve"> (1996). Warning that reminders will be sent increased response rate. Quality</w:t>
      </w:r>
      <w:r>
        <w:rPr>
          <w:spacing w:val="10"/>
          <w:sz w:val="17"/>
        </w:rPr>
        <w:t xml:space="preserve"> </w:t>
      </w:r>
      <w:r w:rsidRPr="00E12431">
        <w:rPr>
          <w:spacing w:val="10"/>
          <w:sz w:val="17"/>
        </w:rPr>
        <w:t>and Quantity, 30, 449450.</w:t>
      </w:r>
    </w:p>
    <w:p w:rsidR="00D11765" w:rsidRDefault="00D11765"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 xml:space="preserve">Green, K.E., </w:t>
      </w:r>
      <w:r w:rsidR="00A23BE6">
        <w:rPr>
          <w:spacing w:val="10"/>
          <w:sz w:val="17"/>
        </w:rPr>
        <w:t>and</w:t>
      </w:r>
      <w:r w:rsidRPr="00E12431">
        <w:rPr>
          <w:spacing w:val="10"/>
          <w:sz w:val="17"/>
        </w:rPr>
        <w:t xml:space="preserve"> Hutchinson, S.R.</w:t>
      </w:r>
      <w:r w:rsidR="00284C8F">
        <w:rPr>
          <w:spacing w:val="10"/>
          <w:sz w:val="17"/>
        </w:rPr>
        <w:t>,</w:t>
      </w:r>
      <w:r w:rsidRPr="00E12431">
        <w:rPr>
          <w:spacing w:val="10"/>
          <w:sz w:val="17"/>
        </w:rPr>
        <w:t xml:space="preserve"> (1996). Reviewing the research on mail survey response</w:t>
      </w:r>
      <w:r>
        <w:rPr>
          <w:spacing w:val="10"/>
          <w:sz w:val="17"/>
        </w:rPr>
        <w:t xml:space="preserve"> </w:t>
      </w:r>
      <w:r w:rsidRPr="00E12431">
        <w:rPr>
          <w:spacing w:val="10"/>
          <w:sz w:val="17"/>
        </w:rPr>
        <w:t>rates: Metaanalysis.</w:t>
      </w:r>
      <w:r>
        <w:rPr>
          <w:spacing w:val="10"/>
          <w:sz w:val="17"/>
        </w:rPr>
        <w:t xml:space="preserve"> </w:t>
      </w:r>
      <w:r w:rsidRPr="00E12431">
        <w:rPr>
          <w:spacing w:val="10"/>
          <w:sz w:val="17"/>
        </w:rPr>
        <w:t>Paper presented at the annual meeting of the American Educational</w:t>
      </w:r>
      <w:r>
        <w:rPr>
          <w:spacing w:val="10"/>
          <w:sz w:val="17"/>
        </w:rPr>
        <w:t xml:space="preserve"> </w:t>
      </w:r>
      <w:r w:rsidRPr="00E12431">
        <w:rPr>
          <w:spacing w:val="10"/>
          <w:sz w:val="17"/>
        </w:rPr>
        <w:t>Research Association, New York, April 1996.</w:t>
      </w:r>
    </w:p>
    <w:p w:rsidR="00D11765" w:rsidRDefault="00D11765" w:rsidP="00D11765">
      <w:pPr>
        <w:autoSpaceDE w:val="0"/>
        <w:autoSpaceDN w:val="0"/>
        <w:adjustRightInd w:val="0"/>
        <w:ind w:left="0"/>
        <w:jc w:val="both"/>
        <w:rPr>
          <w:spacing w:val="10"/>
          <w:sz w:val="17"/>
        </w:rPr>
      </w:pPr>
    </w:p>
    <w:p w:rsidR="00890735" w:rsidRDefault="00A23BE6" w:rsidP="00890735">
      <w:pPr>
        <w:autoSpaceDE w:val="0"/>
        <w:autoSpaceDN w:val="0"/>
        <w:adjustRightInd w:val="0"/>
        <w:ind w:left="0"/>
        <w:jc w:val="both"/>
        <w:rPr>
          <w:spacing w:val="10"/>
          <w:sz w:val="17"/>
          <w:lang w:val="en-AU"/>
        </w:rPr>
      </w:pPr>
      <w:r>
        <w:rPr>
          <w:spacing w:val="10"/>
          <w:sz w:val="17"/>
          <w:lang w:val="en-AU"/>
        </w:rPr>
        <w:t>James, J. M., and Bolstein, R.</w:t>
      </w:r>
      <w:r w:rsidR="00284C8F">
        <w:rPr>
          <w:spacing w:val="10"/>
          <w:sz w:val="17"/>
          <w:lang w:val="en-AU"/>
        </w:rPr>
        <w:t>,</w:t>
      </w:r>
      <w:r>
        <w:rPr>
          <w:spacing w:val="10"/>
          <w:sz w:val="17"/>
          <w:lang w:val="en-AU"/>
        </w:rPr>
        <w:t xml:space="preserve"> (1992). </w:t>
      </w:r>
      <w:r w:rsidR="00890735" w:rsidRPr="00890735">
        <w:rPr>
          <w:spacing w:val="10"/>
          <w:sz w:val="17"/>
          <w:lang w:val="en-AU"/>
        </w:rPr>
        <w:t>Large Monetary Incentives and Their Effect on Mail</w:t>
      </w:r>
      <w:r>
        <w:rPr>
          <w:spacing w:val="10"/>
          <w:sz w:val="17"/>
          <w:lang w:val="en-AU"/>
        </w:rPr>
        <w:t xml:space="preserve"> </w:t>
      </w:r>
      <w:r w:rsidR="00890735" w:rsidRPr="00890735">
        <w:rPr>
          <w:spacing w:val="10"/>
          <w:sz w:val="17"/>
          <w:lang w:val="en-AU"/>
        </w:rPr>
        <w:t xml:space="preserve">Survey Response Rates. </w:t>
      </w:r>
      <w:r w:rsidR="00890735" w:rsidRPr="00890735">
        <w:rPr>
          <w:i/>
          <w:iCs/>
          <w:spacing w:val="10"/>
          <w:sz w:val="17"/>
          <w:lang w:val="en-AU"/>
        </w:rPr>
        <w:t xml:space="preserve">Public Opinion Quarterly, </w:t>
      </w:r>
      <w:r w:rsidR="00890735" w:rsidRPr="00890735">
        <w:rPr>
          <w:spacing w:val="10"/>
          <w:sz w:val="17"/>
          <w:lang w:val="en-AU"/>
        </w:rPr>
        <w:t xml:space="preserve">1992, </w:t>
      </w:r>
      <w:r w:rsidR="00890735" w:rsidRPr="00890735">
        <w:rPr>
          <w:i/>
          <w:iCs/>
          <w:spacing w:val="10"/>
          <w:sz w:val="17"/>
          <w:lang w:val="en-AU"/>
        </w:rPr>
        <w:t xml:space="preserve">56, </w:t>
      </w:r>
      <w:r w:rsidR="00890735" w:rsidRPr="00890735">
        <w:rPr>
          <w:spacing w:val="10"/>
          <w:sz w:val="17"/>
          <w:lang w:val="en-AU"/>
        </w:rPr>
        <w:t>442–453.</w:t>
      </w:r>
    </w:p>
    <w:p w:rsidR="00E3107D" w:rsidRPr="00890735" w:rsidRDefault="00E3107D" w:rsidP="00890735">
      <w:pPr>
        <w:autoSpaceDE w:val="0"/>
        <w:autoSpaceDN w:val="0"/>
        <w:adjustRightInd w:val="0"/>
        <w:ind w:left="0"/>
        <w:jc w:val="both"/>
        <w:rPr>
          <w:spacing w:val="10"/>
          <w:sz w:val="17"/>
          <w:lang w:val="en-AU"/>
        </w:rPr>
      </w:pPr>
    </w:p>
    <w:p w:rsidR="00E3107D" w:rsidRDefault="00E3107D" w:rsidP="00E3107D">
      <w:pPr>
        <w:autoSpaceDE w:val="0"/>
        <w:autoSpaceDN w:val="0"/>
        <w:adjustRightInd w:val="0"/>
        <w:ind w:left="0"/>
        <w:jc w:val="both"/>
        <w:rPr>
          <w:spacing w:val="10"/>
          <w:sz w:val="17"/>
          <w:lang w:val="en-AU"/>
        </w:rPr>
      </w:pPr>
      <w:r w:rsidRPr="00E3107D">
        <w:rPr>
          <w:spacing w:val="10"/>
          <w:sz w:val="17"/>
          <w:lang w:val="en-AU"/>
        </w:rPr>
        <w:t>Jobber, D., and Saunders, J.</w:t>
      </w:r>
      <w:r w:rsidR="00284C8F">
        <w:rPr>
          <w:spacing w:val="10"/>
          <w:sz w:val="17"/>
          <w:lang w:val="en-AU"/>
        </w:rPr>
        <w:t>,</w:t>
      </w:r>
      <w:r w:rsidR="00A23BE6">
        <w:rPr>
          <w:spacing w:val="10"/>
          <w:sz w:val="17"/>
          <w:lang w:val="en-AU"/>
        </w:rPr>
        <w:t xml:space="preserve"> (</w:t>
      </w:r>
      <w:r w:rsidR="00A23BE6" w:rsidRPr="00E3107D">
        <w:rPr>
          <w:spacing w:val="10"/>
          <w:sz w:val="17"/>
          <w:lang w:val="en-AU"/>
        </w:rPr>
        <w:t>1988</w:t>
      </w:r>
      <w:r w:rsidR="00A23BE6">
        <w:rPr>
          <w:spacing w:val="10"/>
          <w:sz w:val="17"/>
          <w:lang w:val="en-AU"/>
        </w:rPr>
        <w:t xml:space="preserve">). </w:t>
      </w:r>
      <w:r w:rsidR="00A23BE6" w:rsidRPr="00E3107D">
        <w:rPr>
          <w:spacing w:val="10"/>
          <w:sz w:val="17"/>
          <w:lang w:val="en-AU"/>
        </w:rPr>
        <w:t>Modelling</w:t>
      </w:r>
      <w:r w:rsidRPr="00E3107D">
        <w:rPr>
          <w:spacing w:val="10"/>
          <w:sz w:val="17"/>
          <w:lang w:val="en-AU"/>
        </w:rPr>
        <w:t xml:space="preserve"> the Effects of Prepaid Monetary Incentives on</w:t>
      </w:r>
      <w:r>
        <w:rPr>
          <w:spacing w:val="10"/>
          <w:sz w:val="17"/>
          <w:lang w:val="en-AU"/>
        </w:rPr>
        <w:t xml:space="preserve"> </w:t>
      </w:r>
      <w:r w:rsidR="00A23BE6">
        <w:rPr>
          <w:spacing w:val="10"/>
          <w:sz w:val="17"/>
          <w:lang w:val="en-AU"/>
        </w:rPr>
        <w:t>Mail Survey Response.</w:t>
      </w:r>
      <w:r w:rsidRPr="00E3107D">
        <w:rPr>
          <w:spacing w:val="10"/>
          <w:sz w:val="17"/>
          <w:lang w:val="en-AU"/>
        </w:rPr>
        <w:t xml:space="preserve"> </w:t>
      </w:r>
      <w:r w:rsidRPr="00E3107D">
        <w:rPr>
          <w:i/>
          <w:iCs/>
          <w:spacing w:val="10"/>
          <w:sz w:val="17"/>
          <w:lang w:val="en-AU"/>
        </w:rPr>
        <w:t>Journal of the Operational Research Society, 39</w:t>
      </w:r>
      <w:r w:rsidRPr="00E3107D">
        <w:rPr>
          <w:spacing w:val="10"/>
          <w:sz w:val="17"/>
          <w:lang w:val="en-AU"/>
        </w:rPr>
        <w:t>(4),</w:t>
      </w:r>
      <w:r>
        <w:rPr>
          <w:spacing w:val="10"/>
          <w:sz w:val="17"/>
          <w:lang w:val="en-AU"/>
        </w:rPr>
        <w:t xml:space="preserve"> </w:t>
      </w:r>
      <w:r w:rsidRPr="00E3107D">
        <w:rPr>
          <w:spacing w:val="10"/>
          <w:sz w:val="17"/>
          <w:lang w:val="en-AU"/>
        </w:rPr>
        <w:t>365–372.</w:t>
      </w:r>
    </w:p>
    <w:p w:rsidR="00E3107D" w:rsidRPr="00E3107D" w:rsidRDefault="00E3107D" w:rsidP="00E3107D">
      <w:pPr>
        <w:autoSpaceDE w:val="0"/>
        <w:autoSpaceDN w:val="0"/>
        <w:adjustRightInd w:val="0"/>
        <w:ind w:left="0"/>
        <w:jc w:val="both"/>
        <w:rPr>
          <w:spacing w:val="10"/>
          <w:sz w:val="17"/>
          <w:lang w:val="en-AU"/>
        </w:rPr>
      </w:pPr>
    </w:p>
    <w:p w:rsidR="00E3107D" w:rsidRPr="00284C8F" w:rsidRDefault="00A23BE6" w:rsidP="00E3107D">
      <w:pPr>
        <w:autoSpaceDE w:val="0"/>
        <w:autoSpaceDN w:val="0"/>
        <w:adjustRightInd w:val="0"/>
        <w:ind w:left="0"/>
        <w:jc w:val="both"/>
        <w:rPr>
          <w:spacing w:val="10"/>
          <w:sz w:val="17"/>
          <w:lang w:val="en-AU"/>
        </w:rPr>
      </w:pPr>
      <w:r>
        <w:rPr>
          <w:spacing w:val="10"/>
          <w:sz w:val="17"/>
          <w:lang w:val="en-AU"/>
        </w:rPr>
        <w:t>Jobber, D., and Saunders, J.</w:t>
      </w:r>
      <w:r w:rsidR="00284C8F">
        <w:rPr>
          <w:spacing w:val="10"/>
          <w:sz w:val="17"/>
          <w:lang w:val="en-AU"/>
        </w:rPr>
        <w:t>,</w:t>
      </w:r>
      <w:r>
        <w:rPr>
          <w:spacing w:val="10"/>
          <w:sz w:val="17"/>
          <w:lang w:val="en-AU"/>
        </w:rPr>
        <w:t xml:space="preserve"> (</w:t>
      </w:r>
      <w:r w:rsidRPr="00E3107D">
        <w:rPr>
          <w:spacing w:val="10"/>
          <w:sz w:val="17"/>
          <w:lang w:val="en-AU"/>
        </w:rPr>
        <w:t>1989</w:t>
      </w:r>
      <w:r>
        <w:rPr>
          <w:spacing w:val="10"/>
          <w:sz w:val="17"/>
          <w:lang w:val="en-AU"/>
        </w:rPr>
        <w:t xml:space="preserve">). </w:t>
      </w:r>
      <w:r w:rsidR="00E3107D" w:rsidRPr="00E3107D">
        <w:rPr>
          <w:spacing w:val="10"/>
          <w:sz w:val="17"/>
          <w:lang w:val="en-AU"/>
        </w:rPr>
        <w:t>The Prediction of Industr</w:t>
      </w:r>
      <w:r w:rsidR="00284C8F">
        <w:rPr>
          <w:spacing w:val="10"/>
          <w:sz w:val="17"/>
          <w:lang w:val="en-AU"/>
        </w:rPr>
        <w:t xml:space="preserve">ial Mail-Survey Response </w:t>
      </w:r>
      <w:r w:rsidR="00284C8F" w:rsidRPr="00284C8F">
        <w:rPr>
          <w:spacing w:val="10"/>
          <w:sz w:val="17"/>
          <w:lang w:val="en-AU"/>
        </w:rPr>
        <w:t>Rates.</w:t>
      </w:r>
      <w:r w:rsidR="00E3107D" w:rsidRPr="00284C8F">
        <w:rPr>
          <w:spacing w:val="10"/>
          <w:sz w:val="17"/>
          <w:lang w:val="en-AU"/>
        </w:rPr>
        <w:t xml:space="preserve"> </w:t>
      </w:r>
      <w:r w:rsidR="00E3107D" w:rsidRPr="00284C8F">
        <w:rPr>
          <w:iCs/>
          <w:spacing w:val="10"/>
          <w:sz w:val="17"/>
          <w:lang w:val="en-AU"/>
        </w:rPr>
        <w:t>Journal of the Operational Research Society, 40</w:t>
      </w:r>
      <w:r w:rsidR="00E3107D" w:rsidRPr="00284C8F">
        <w:rPr>
          <w:spacing w:val="10"/>
          <w:sz w:val="17"/>
          <w:lang w:val="en-AU"/>
        </w:rPr>
        <w:t>(10), 839–847.</w:t>
      </w:r>
    </w:p>
    <w:p w:rsidR="00821A94" w:rsidRDefault="00821A94" w:rsidP="00D11765">
      <w:pPr>
        <w:autoSpaceDE w:val="0"/>
        <w:autoSpaceDN w:val="0"/>
        <w:adjustRightInd w:val="0"/>
        <w:ind w:left="0"/>
        <w:jc w:val="both"/>
        <w:rPr>
          <w:spacing w:val="10"/>
          <w:sz w:val="17"/>
        </w:rPr>
      </w:pPr>
    </w:p>
    <w:p w:rsidR="00D11765" w:rsidRPr="00E12431" w:rsidRDefault="00D11765" w:rsidP="00D11765">
      <w:pPr>
        <w:autoSpaceDE w:val="0"/>
        <w:autoSpaceDN w:val="0"/>
        <w:adjustRightInd w:val="0"/>
        <w:ind w:left="0"/>
        <w:jc w:val="both"/>
        <w:rPr>
          <w:spacing w:val="10"/>
          <w:sz w:val="17"/>
        </w:rPr>
      </w:pPr>
      <w:r w:rsidRPr="00E12431">
        <w:rPr>
          <w:spacing w:val="10"/>
          <w:sz w:val="17"/>
        </w:rPr>
        <w:t xml:space="preserve">Heberlein, T. A., </w:t>
      </w:r>
      <w:r w:rsidR="00A23BE6">
        <w:rPr>
          <w:spacing w:val="10"/>
          <w:sz w:val="17"/>
        </w:rPr>
        <w:t>and</w:t>
      </w:r>
      <w:r w:rsidRPr="00E12431">
        <w:rPr>
          <w:spacing w:val="10"/>
          <w:sz w:val="17"/>
        </w:rPr>
        <w:t xml:space="preserve"> Baumgartner, R.</w:t>
      </w:r>
      <w:r w:rsidR="00284C8F">
        <w:rPr>
          <w:spacing w:val="10"/>
          <w:sz w:val="17"/>
        </w:rPr>
        <w:t>,</w:t>
      </w:r>
      <w:r w:rsidRPr="00E12431">
        <w:rPr>
          <w:spacing w:val="10"/>
          <w:sz w:val="17"/>
        </w:rPr>
        <w:t xml:space="preserve"> (1978). Factors affecting response rates to mailed</w:t>
      </w:r>
      <w:r>
        <w:rPr>
          <w:spacing w:val="10"/>
          <w:sz w:val="17"/>
        </w:rPr>
        <w:t xml:space="preserve"> </w:t>
      </w:r>
      <w:r w:rsidRPr="00E12431">
        <w:rPr>
          <w:spacing w:val="10"/>
          <w:sz w:val="17"/>
        </w:rPr>
        <w:t>surveys: A quantitative analysis of the published literature. American Sociological Review,</w:t>
      </w:r>
      <w:r>
        <w:rPr>
          <w:spacing w:val="10"/>
          <w:sz w:val="17"/>
        </w:rPr>
        <w:t xml:space="preserve"> </w:t>
      </w:r>
      <w:r w:rsidRPr="00E12431">
        <w:rPr>
          <w:spacing w:val="10"/>
          <w:sz w:val="17"/>
        </w:rPr>
        <w:t>43, 447462.</w:t>
      </w:r>
    </w:p>
    <w:p w:rsidR="00DC2471" w:rsidRPr="00DC2471" w:rsidRDefault="00DC2471" w:rsidP="00DC2471">
      <w:pPr>
        <w:autoSpaceDE w:val="0"/>
        <w:autoSpaceDN w:val="0"/>
        <w:adjustRightInd w:val="0"/>
        <w:ind w:left="0"/>
        <w:jc w:val="both"/>
        <w:rPr>
          <w:spacing w:val="10"/>
          <w:sz w:val="17"/>
        </w:rPr>
      </w:pPr>
    </w:p>
    <w:p w:rsidR="00821A94" w:rsidRPr="00DC2471" w:rsidRDefault="00821A94" w:rsidP="00DC2471">
      <w:pPr>
        <w:autoSpaceDE w:val="0"/>
        <w:autoSpaceDN w:val="0"/>
        <w:adjustRightInd w:val="0"/>
        <w:ind w:left="0"/>
        <w:jc w:val="both"/>
        <w:rPr>
          <w:spacing w:val="10"/>
          <w:sz w:val="17"/>
        </w:rPr>
      </w:pPr>
      <w:r w:rsidRPr="00DC2471">
        <w:rPr>
          <w:spacing w:val="10"/>
          <w:sz w:val="17"/>
        </w:rPr>
        <w:t>Hubbard, R., and Little, E. L.</w:t>
      </w:r>
      <w:r w:rsidR="00284C8F">
        <w:rPr>
          <w:spacing w:val="10"/>
          <w:sz w:val="17"/>
        </w:rPr>
        <w:t>,</w:t>
      </w:r>
      <w:r w:rsidRPr="00DC2471">
        <w:rPr>
          <w:spacing w:val="10"/>
          <w:sz w:val="17"/>
        </w:rPr>
        <w:t xml:space="preserve"> (1988). Promised contributions to charity and mail survey responses: Replication with extension. </w:t>
      </w:r>
      <w:r w:rsidR="00284C8F" w:rsidRPr="00284C8F">
        <w:rPr>
          <w:iCs/>
          <w:spacing w:val="10"/>
          <w:sz w:val="17"/>
          <w:lang w:val="en-AU"/>
        </w:rPr>
        <w:t>Public Opinion Quarterly</w:t>
      </w:r>
      <w:r w:rsidRPr="00DC2471">
        <w:rPr>
          <w:spacing w:val="10"/>
          <w:sz w:val="17"/>
        </w:rPr>
        <w:t>. 52: 223–230.</w:t>
      </w:r>
    </w:p>
    <w:p w:rsidR="00DC2471" w:rsidRDefault="00DC2471" w:rsidP="00DC2471">
      <w:pPr>
        <w:autoSpaceDE w:val="0"/>
        <w:autoSpaceDN w:val="0"/>
        <w:adjustRightInd w:val="0"/>
        <w:ind w:left="0"/>
        <w:jc w:val="both"/>
        <w:rPr>
          <w:spacing w:val="10"/>
          <w:sz w:val="17"/>
        </w:rPr>
      </w:pPr>
    </w:p>
    <w:p w:rsidR="00BB022C" w:rsidRDefault="00BB022C" w:rsidP="00DC2471">
      <w:pPr>
        <w:autoSpaceDE w:val="0"/>
        <w:autoSpaceDN w:val="0"/>
        <w:adjustRightInd w:val="0"/>
        <w:ind w:left="0"/>
        <w:jc w:val="both"/>
        <w:rPr>
          <w:spacing w:val="10"/>
          <w:sz w:val="17"/>
        </w:rPr>
      </w:pPr>
      <w:r w:rsidRPr="00DC2471">
        <w:rPr>
          <w:spacing w:val="10"/>
          <w:sz w:val="17"/>
        </w:rPr>
        <w:t>Kropf, M. E., Scheib, J., and Blair, J.</w:t>
      </w:r>
      <w:r w:rsidR="00284C8F">
        <w:rPr>
          <w:spacing w:val="10"/>
          <w:sz w:val="17"/>
        </w:rPr>
        <w:t>,</w:t>
      </w:r>
      <w:r w:rsidRPr="00DC2471">
        <w:rPr>
          <w:spacing w:val="10"/>
          <w:sz w:val="17"/>
        </w:rPr>
        <w:t xml:space="preserve"> </w:t>
      </w:r>
      <w:r w:rsidR="00890735">
        <w:rPr>
          <w:spacing w:val="10"/>
          <w:sz w:val="17"/>
        </w:rPr>
        <w:t xml:space="preserve">(1999). </w:t>
      </w:r>
      <w:r w:rsidRPr="00DC2471">
        <w:rPr>
          <w:spacing w:val="10"/>
          <w:sz w:val="17"/>
        </w:rPr>
        <w:t>The Effect of Alternative Incentives on Cooperation and Refusal Conversion in a Telephone Survey. College Park: University of Marylan</w:t>
      </w:r>
      <w:r w:rsidR="00890735">
        <w:rPr>
          <w:spacing w:val="10"/>
          <w:sz w:val="17"/>
        </w:rPr>
        <w:t>d, Survey Research Center.</w:t>
      </w:r>
    </w:p>
    <w:p w:rsidR="00890735" w:rsidRPr="00DC2471" w:rsidRDefault="00890735" w:rsidP="00DC2471">
      <w:pPr>
        <w:autoSpaceDE w:val="0"/>
        <w:autoSpaceDN w:val="0"/>
        <w:adjustRightInd w:val="0"/>
        <w:ind w:left="0"/>
        <w:jc w:val="both"/>
        <w:rPr>
          <w:spacing w:val="10"/>
          <w:sz w:val="17"/>
        </w:rPr>
      </w:pPr>
    </w:p>
    <w:p w:rsidR="00BB022C" w:rsidRPr="00DC2471" w:rsidRDefault="00BB022C" w:rsidP="00DC2471">
      <w:pPr>
        <w:autoSpaceDE w:val="0"/>
        <w:autoSpaceDN w:val="0"/>
        <w:adjustRightInd w:val="0"/>
        <w:ind w:left="0"/>
        <w:jc w:val="both"/>
        <w:rPr>
          <w:spacing w:val="10"/>
          <w:sz w:val="17"/>
        </w:rPr>
      </w:pPr>
      <w:r w:rsidRPr="00DC2471">
        <w:rPr>
          <w:spacing w:val="10"/>
          <w:sz w:val="17"/>
        </w:rPr>
        <w:t>Singer, E., van Hoewyk, J., and Maher, M. P.</w:t>
      </w:r>
      <w:r w:rsidR="00284C8F">
        <w:rPr>
          <w:spacing w:val="10"/>
          <w:sz w:val="17"/>
        </w:rPr>
        <w:t>,</w:t>
      </w:r>
      <w:r w:rsidRPr="00DC2471">
        <w:rPr>
          <w:spacing w:val="10"/>
          <w:sz w:val="17"/>
        </w:rPr>
        <w:t xml:space="preserve"> </w:t>
      </w:r>
      <w:r w:rsidR="00A23BE6">
        <w:rPr>
          <w:spacing w:val="10"/>
          <w:sz w:val="17"/>
        </w:rPr>
        <w:t xml:space="preserve">(1998). </w:t>
      </w:r>
      <w:r w:rsidRPr="00DC2471">
        <w:rPr>
          <w:spacing w:val="10"/>
          <w:sz w:val="17"/>
        </w:rPr>
        <w:t>Does the Payment of Incenti</w:t>
      </w:r>
      <w:r w:rsidR="00A23BE6">
        <w:rPr>
          <w:spacing w:val="10"/>
          <w:sz w:val="17"/>
        </w:rPr>
        <w:t>ves Create Expectation Effects?.</w:t>
      </w:r>
      <w:r w:rsidRPr="00DC2471">
        <w:rPr>
          <w:spacing w:val="10"/>
          <w:sz w:val="17"/>
        </w:rPr>
        <w:t xml:space="preserve"> Public Opinion Quarterly, 1998, 62, 152–164.</w:t>
      </w:r>
    </w:p>
    <w:p w:rsidR="00890735" w:rsidRPr="00E3107D" w:rsidRDefault="00890735" w:rsidP="00E3107D">
      <w:pPr>
        <w:autoSpaceDE w:val="0"/>
        <w:autoSpaceDN w:val="0"/>
        <w:adjustRightInd w:val="0"/>
        <w:ind w:left="0"/>
        <w:jc w:val="both"/>
        <w:rPr>
          <w:spacing w:val="10"/>
          <w:sz w:val="17"/>
        </w:rPr>
      </w:pPr>
    </w:p>
    <w:p w:rsidR="00890735" w:rsidRDefault="00821A94" w:rsidP="00E3107D">
      <w:pPr>
        <w:autoSpaceDE w:val="0"/>
        <w:autoSpaceDN w:val="0"/>
        <w:adjustRightInd w:val="0"/>
        <w:ind w:left="0"/>
        <w:jc w:val="both"/>
        <w:rPr>
          <w:spacing w:val="10"/>
          <w:sz w:val="17"/>
        </w:rPr>
      </w:pPr>
      <w:r w:rsidRPr="00E3107D">
        <w:rPr>
          <w:spacing w:val="10"/>
          <w:sz w:val="17"/>
        </w:rPr>
        <w:t>Warriner, K., Goyder, J., Gjertsen, H., Hohner, P., and McSpurren, K. (1996). Charities, no; Lotteries, no; Cash, yes: Main effects and interactions in a Canadian incentives experiment. Public Opin. Q. 60: 542–562.</w:t>
      </w:r>
    </w:p>
    <w:p w:rsidR="00E3107D" w:rsidRPr="00E3107D" w:rsidRDefault="00E3107D" w:rsidP="00E3107D">
      <w:pPr>
        <w:autoSpaceDE w:val="0"/>
        <w:autoSpaceDN w:val="0"/>
        <w:adjustRightInd w:val="0"/>
        <w:ind w:left="0"/>
        <w:jc w:val="both"/>
        <w:rPr>
          <w:spacing w:val="10"/>
          <w:sz w:val="17"/>
        </w:rPr>
      </w:pPr>
    </w:p>
    <w:p w:rsidR="00890735" w:rsidRPr="00890735" w:rsidRDefault="00890735" w:rsidP="00890735">
      <w:pPr>
        <w:autoSpaceDE w:val="0"/>
        <w:autoSpaceDN w:val="0"/>
        <w:adjustRightInd w:val="0"/>
        <w:ind w:left="0"/>
        <w:jc w:val="both"/>
        <w:rPr>
          <w:spacing w:val="10"/>
          <w:sz w:val="17"/>
        </w:rPr>
      </w:pPr>
      <w:r w:rsidRPr="00890735">
        <w:rPr>
          <w:spacing w:val="10"/>
          <w:sz w:val="17"/>
        </w:rPr>
        <w:t>Porter</w:t>
      </w:r>
      <w:r>
        <w:rPr>
          <w:spacing w:val="10"/>
          <w:sz w:val="17"/>
        </w:rPr>
        <w:t>, S.R.,</w:t>
      </w:r>
      <w:r w:rsidRPr="00890735">
        <w:rPr>
          <w:spacing w:val="10"/>
          <w:sz w:val="17"/>
        </w:rPr>
        <w:t xml:space="preserve"> and Whitcomb</w:t>
      </w:r>
      <w:r>
        <w:rPr>
          <w:spacing w:val="10"/>
          <w:sz w:val="17"/>
        </w:rPr>
        <w:t>, M.E.,</w:t>
      </w:r>
      <w:r w:rsidRPr="00890735">
        <w:rPr>
          <w:spacing w:val="10"/>
          <w:sz w:val="17"/>
        </w:rPr>
        <w:t xml:space="preserve"> (2004)</w:t>
      </w:r>
      <w:r w:rsidR="00284C8F">
        <w:rPr>
          <w:spacing w:val="10"/>
          <w:sz w:val="17"/>
        </w:rPr>
        <w:t>.</w:t>
      </w:r>
      <w:r w:rsidRPr="00890735">
        <w:rPr>
          <w:spacing w:val="10"/>
          <w:sz w:val="17"/>
        </w:rPr>
        <w:t xml:space="preserve"> Understanding the Effect of Prizes on</w:t>
      </w:r>
      <w:r>
        <w:rPr>
          <w:spacing w:val="10"/>
          <w:sz w:val="17"/>
        </w:rPr>
        <w:t xml:space="preserve"> </w:t>
      </w:r>
      <w:r w:rsidRPr="00890735">
        <w:rPr>
          <w:spacing w:val="10"/>
          <w:sz w:val="17"/>
        </w:rPr>
        <w:t>Response Rates</w:t>
      </w:r>
      <w:r w:rsidR="00E3107D">
        <w:rPr>
          <w:spacing w:val="10"/>
          <w:sz w:val="17"/>
        </w:rPr>
        <w:t xml:space="preserve">. </w:t>
      </w:r>
      <w:r w:rsidRPr="00890735">
        <w:rPr>
          <w:spacing w:val="10"/>
          <w:sz w:val="17"/>
        </w:rPr>
        <w:t xml:space="preserve"> N</w:t>
      </w:r>
      <w:r w:rsidR="00E3107D">
        <w:rPr>
          <w:spacing w:val="10"/>
          <w:sz w:val="17"/>
        </w:rPr>
        <w:t>ew Directions for Institutional Research</w:t>
      </w:r>
      <w:r w:rsidRPr="00890735">
        <w:rPr>
          <w:spacing w:val="10"/>
          <w:sz w:val="17"/>
        </w:rPr>
        <w:t>, Wiley Periodicals, Inc.</w:t>
      </w:r>
      <w:r w:rsidR="00E3107D">
        <w:rPr>
          <w:spacing w:val="10"/>
          <w:sz w:val="17"/>
        </w:rPr>
        <w:t xml:space="preserve">, 21, </w:t>
      </w:r>
      <w:r w:rsidRPr="00890735">
        <w:rPr>
          <w:spacing w:val="10"/>
          <w:sz w:val="17"/>
        </w:rPr>
        <w:t>51 -62</w:t>
      </w:r>
    </w:p>
    <w:p w:rsidR="00890735" w:rsidRDefault="009128BD" w:rsidP="00890735">
      <w:pPr>
        <w:autoSpaceDE w:val="0"/>
        <w:autoSpaceDN w:val="0"/>
        <w:adjustRightInd w:val="0"/>
        <w:ind w:left="0"/>
        <w:jc w:val="both"/>
        <w:rPr>
          <w:spacing w:val="10"/>
          <w:sz w:val="17"/>
        </w:rPr>
      </w:pPr>
      <w:r w:rsidRPr="00890735" w:rsidDel="009128BD">
        <w:rPr>
          <w:spacing w:val="10"/>
          <w:sz w:val="17"/>
        </w:rPr>
        <w:t xml:space="preserve"> </w:t>
      </w:r>
    </w:p>
    <w:p w:rsidR="00E3107D" w:rsidRPr="00890735" w:rsidRDefault="00E3107D" w:rsidP="00E3107D">
      <w:pPr>
        <w:autoSpaceDE w:val="0"/>
        <w:autoSpaceDN w:val="0"/>
        <w:adjustRightInd w:val="0"/>
        <w:ind w:left="0"/>
        <w:jc w:val="both"/>
        <w:rPr>
          <w:spacing w:val="10"/>
          <w:sz w:val="17"/>
        </w:rPr>
      </w:pPr>
      <w:r w:rsidRPr="00890735">
        <w:rPr>
          <w:spacing w:val="10"/>
          <w:sz w:val="17"/>
        </w:rPr>
        <w:t>Porter</w:t>
      </w:r>
      <w:r>
        <w:rPr>
          <w:spacing w:val="10"/>
          <w:sz w:val="17"/>
        </w:rPr>
        <w:t>, S.R.</w:t>
      </w:r>
      <w:r w:rsidR="00284C8F">
        <w:rPr>
          <w:spacing w:val="10"/>
          <w:sz w:val="17"/>
        </w:rPr>
        <w:t>,</w:t>
      </w:r>
      <w:r>
        <w:rPr>
          <w:spacing w:val="10"/>
          <w:sz w:val="17"/>
        </w:rPr>
        <w:t xml:space="preserve"> </w:t>
      </w:r>
      <w:r w:rsidRPr="00890735">
        <w:rPr>
          <w:spacing w:val="10"/>
          <w:sz w:val="17"/>
        </w:rPr>
        <w:t>(2004)</w:t>
      </w:r>
      <w:r w:rsidR="00284C8F">
        <w:rPr>
          <w:spacing w:val="10"/>
          <w:sz w:val="17"/>
        </w:rPr>
        <w:t>.</w:t>
      </w:r>
      <w:r w:rsidRPr="00890735">
        <w:rPr>
          <w:spacing w:val="10"/>
          <w:sz w:val="17"/>
        </w:rPr>
        <w:t xml:space="preserve"> </w:t>
      </w:r>
      <w:r w:rsidR="00890735" w:rsidRPr="00E3107D">
        <w:rPr>
          <w:spacing w:val="10"/>
          <w:sz w:val="17"/>
        </w:rPr>
        <w:t>Raising Response Rates: What Works?</w:t>
      </w:r>
      <w:r>
        <w:rPr>
          <w:spacing w:val="10"/>
          <w:sz w:val="17"/>
        </w:rPr>
        <w:t xml:space="preserve">. </w:t>
      </w:r>
      <w:r w:rsidRPr="00890735">
        <w:rPr>
          <w:spacing w:val="10"/>
          <w:sz w:val="17"/>
        </w:rPr>
        <w:t>N</w:t>
      </w:r>
      <w:r>
        <w:rPr>
          <w:spacing w:val="10"/>
          <w:sz w:val="17"/>
        </w:rPr>
        <w:t>ew Directions for Institutional Research</w:t>
      </w:r>
      <w:r w:rsidRPr="00890735">
        <w:rPr>
          <w:spacing w:val="10"/>
          <w:sz w:val="17"/>
        </w:rPr>
        <w:t>, Wiley Periodicals, Inc.</w:t>
      </w:r>
      <w:r>
        <w:rPr>
          <w:spacing w:val="10"/>
          <w:sz w:val="17"/>
        </w:rPr>
        <w:t xml:space="preserve">, 21, </w:t>
      </w:r>
      <w:r w:rsidRPr="00890735">
        <w:rPr>
          <w:spacing w:val="10"/>
          <w:sz w:val="17"/>
        </w:rPr>
        <w:t>5</w:t>
      </w:r>
      <w:r>
        <w:rPr>
          <w:spacing w:val="10"/>
          <w:sz w:val="17"/>
        </w:rPr>
        <w:t xml:space="preserve"> -21.</w:t>
      </w:r>
    </w:p>
    <w:p w:rsidR="00E3107D" w:rsidRDefault="00E3107D" w:rsidP="00E3107D">
      <w:pPr>
        <w:autoSpaceDE w:val="0"/>
        <w:autoSpaceDN w:val="0"/>
        <w:adjustRightInd w:val="0"/>
        <w:ind w:left="0"/>
        <w:jc w:val="both"/>
        <w:rPr>
          <w:spacing w:val="10"/>
          <w:sz w:val="17"/>
        </w:rPr>
      </w:pPr>
      <w:r w:rsidRPr="00890735" w:rsidDel="009128BD">
        <w:rPr>
          <w:spacing w:val="10"/>
          <w:sz w:val="17"/>
        </w:rPr>
        <w:t xml:space="preserve"> </w:t>
      </w:r>
    </w:p>
    <w:p w:rsidR="00A23BE6" w:rsidRPr="00A23BE6" w:rsidRDefault="00A23BE6" w:rsidP="00A23BE6">
      <w:pPr>
        <w:autoSpaceDE w:val="0"/>
        <w:autoSpaceDN w:val="0"/>
        <w:adjustRightInd w:val="0"/>
        <w:ind w:left="0"/>
        <w:jc w:val="both"/>
        <w:rPr>
          <w:spacing w:val="10"/>
          <w:sz w:val="17"/>
        </w:rPr>
      </w:pPr>
      <w:r w:rsidRPr="00A23BE6">
        <w:rPr>
          <w:spacing w:val="10"/>
          <w:sz w:val="17"/>
        </w:rPr>
        <w:t>Zusman, B. J., and Duby, P.</w:t>
      </w:r>
      <w:r w:rsidR="00284C8F">
        <w:rPr>
          <w:spacing w:val="10"/>
          <w:sz w:val="17"/>
        </w:rPr>
        <w:t>,</w:t>
      </w:r>
      <w:r>
        <w:rPr>
          <w:spacing w:val="10"/>
          <w:sz w:val="17"/>
        </w:rPr>
        <w:t xml:space="preserve"> (1987)</w:t>
      </w:r>
      <w:r w:rsidR="00284C8F">
        <w:rPr>
          <w:spacing w:val="10"/>
          <w:sz w:val="17"/>
        </w:rPr>
        <w:t>.</w:t>
      </w:r>
      <w:r w:rsidRPr="00A23BE6">
        <w:rPr>
          <w:spacing w:val="10"/>
          <w:sz w:val="17"/>
        </w:rPr>
        <w:t xml:space="preserve"> An Evaluation of the Use of Monetary Incentives in Postsecondary Survey Research. Journal of Research and Development in Education,</w:t>
      </w:r>
      <w:r>
        <w:rPr>
          <w:spacing w:val="10"/>
          <w:sz w:val="17"/>
        </w:rPr>
        <w:t xml:space="preserve"> </w:t>
      </w:r>
      <w:r w:rsidRPr="00A23BE6">
        <w:rPr>
          <w:spacing w:val="10"/>
          <w:sz w:val="17"/>
        </w:rPr>
        <w:t>20(4), 73–78.</w:t>
      </w:r>
    </w:p>
    <w:p w:rsidR="00890735" w:rsidRPr="00890735" w:rsidRDefault="00890735" w:rsidP="00E3107D">
      <w:pPr>
        <w:autoSpaceDE w:val="0"/>
        <w:autoSpaceDN w:val="0"/>
        <w:adjustRightInd w:val="0"/>
        <w:ind w:left="0"/>
        <w:jc w:val="both"/>
        <w:rPr>
          <w:spacing w:val="10"/>
          <w:sz w:val="17"/>
        </w:rPr>
      </w:pPr>
    </w:p>
    <w:sectPr w:rsidR="00890735" w:rsidRPr="00890735" w:rsidSect="00E12431">
      <w:footerReference w:type="default" r:id="rId10"/>
      <w:pgSz w:w="12240" w:h="15840" w:code="1"/>
      <w:pgMar w:top="1800" w:right="2880" w:bottom="1418" w:left="1872" w:header="720" w:footer="965" w:gutter="0"/>
      <w:pgNumType w:start="1"/>
      <w:cols w:space="24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12" w:rsidRDefault="00AF0512" w:rsidP="000916A9">
      <w:r>
        <w:separator/>
      </w:r>
    </w:p>
  </w:endnote>
  <w:endnote w:type="continuationSeparator" w:id="1">
    <w:p w:rsidR="00AF0512" w:rsidRDefault="00AF0512" w:rsidP="00091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01" w:rsidRPr="00172734" w:rsidRDefault="00FC3492" w:rsidP="00FF2856">
    <w:pPr>
      <w:pStyle w:val="Footer"/>
      <w:jc w:val="right"/>
      <w:rPr>
        <w:sz w:val="16"/>
        <w:szCs w:val="16"/>
      </w:rPr>
    </w:pPr>
    <w:r w:rsidRPr="00172734">
      <w:rPr>
        <w:rStyle w:val="PageNumber"/>
        <w:sz w:val="16"/>
        <w:szCs w:val="16"/>
      </w:rPr>
      <w:fldChar w:fldCharType="begin"/>
    </w:r>
    <w:r w:rsidR="00520A01" w:rsidRPr="00172734">
      <w:rPr>
        <w:rStyle w:val="PageNumber"/>
        <w:sz w:val="16"/>
        <w:szCs w:val="16"/>
      </w:rPr>
      <w:instrText xml:space="preserve"> PAGE </w:instrText>
    </w:r>
    <w:r w:rsidRPr="00172734">
      <w:rPr>
        <w:rStyle w:val="PageNumber"/>
        <w:sz w:val="16"/>
        <w:szCs w:val="16"/>
      </w:rPr>
      <w:fldChar w:fldCharType="separate"/>
    </w:r>
    <w:r w:rsidR="007813DC">
      <w:rPr>
        <w:rStyle w:val="PageNumber"/>
        <w:noProof/>
        <w:sz w:val="16"/>
        <w:szCs w:val="16"/>
      </w:rPr>
      <w:t>2</w:t>
    </w:r>
    <w:r w:rsidRPr="00172734">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12" w:rsidRDefault="00AF0512" w:rsidP="000916A9">
      <w:r>
        <w:separator/>
      </w:r>
    </w:p>
  </w:footnote>
  <w:footnote w:type="continuationSeparator" w:id="1">
    <w:p w:rsidR="00AF0512" w:rsidRDefault="00AF0512">
      <w:r>
        <w:separator/>
      </w:r>
    </w:p>
  </w:footnote>
  <w:footnote w:type="continuationNotice" w:id="2">
    <w:p w:rsidR="00AF0512" w:rsidRDefault="00AF0512">
      <w:pPr>
        <w:rPr>
          <w:i/>
          <w:sz w:val="18"/>
        </w:rPr>
      </w:pPr>
      <w:r>
        <w:rPr>
          <w:i/>
          <w:sz w:val="18"/>
        </w:rPr>
        <w:t>(footnote continued)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6B29562"/>
    <w:lvl w:ilvl="0">
      <w:start w:val="1"/>
      <w:numFmt w:val="decimal"/>
      <w:lvlText w:val="%1."/>
      <w:lvlJc w:val="left"/>
      <w:pPr>
        <w:tabs>
          <w:tab w:val="num" w:pos="360"/>
        </w:tabs>
        <w:ind w:left="360" w:hanging="360"/>
      </w:pPr>
    </w:lvl>
  </w:abstractNum>
  <w:abstractNum w:abstractNumId="1">
    <w:nsid w:val="FFFFFF89"/>
    <w:multiLevelType w:val="singleLevel"/>
    <w:tmpl w:val="810412A4"/>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ListBullet"/>
      <w:lvlText w:val="*"/>
      <w:lvlJc w:val="left"/>
    </w:lvl>
  </w:abstractNum>
  <w:abstractNum w:abstractNumId="3">
    <w:nsid w:val="0129287F"/>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4">
    <w:nsid w:val="0563453B"/>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5">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7D13E4"/>
    <w:multiLevelType w:val="singleLevel"/>
    <w:tmpl w:val="960A983A"/>
    <w:lvl w:ilvl="0">
      <w:start w:val="1"/>
      <w:numFmt w:val="none"/>
      <w:lvlText w:val=""/>
      <w:legacy w:legacy="1" w:legacySpace="0" w:legacyIndent="0"/>
      <w:lvlJc w:val="left"/>
    </w:lvl>
  </w:abstractNum>
  <w:abstractNum w:abstractNumId="7">
    <w:nsid w:val="12A2021A"/>
    <w:multiLevelType w:val="hybridMultilevel"/>
    <w:tmpl w:val="96AA6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45D8A"/>
    <w:multiLevelType w:val="multilevel"/>
    <w:tmpl w:val="23C21576"/>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AB4197"/>
    <w:multiLevelType w:val="hybridMultilevel"/>
    <w:tmpl w:val="FD2C3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0092CAF"/>
    <w:multiLevelType w:val="hybridMultilevel"/>
    <w:tmpl w:val="E7205E76"/>
    <w:lvl w:ilvl="0" w:tplc="E83CEC32">
      <w:start w:val="1"/>
      <w:numFmt w:val="decimal"/>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2">
    <w:nsid w:val="2C4F1C46"/>
    <w:multiLevelType w:val="hybridMultilevel"/>
    <w:tmpl w:val="14927FBA"/>
    <w:lvl w:ilvl="0" w:tplc="52AAB9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646940"/>
    <w:multiLevelType w:val="hybridMultilevel"/>
    <w:tmpl w:val="362CA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F1783F"/>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15">
    <w:nsid w:val="3F6B3873"/>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16">
    <w:nsid w:val="3FE72F5D"/>
    <w:multiLevelType w:val="singleLevel"/>
    <w:tmpl w:val="8CF41354"/>
    <w:lvl w:ilvl="0">
      <w:start w:val="1"/>
      <w:numFmt w:val="none"/>
      <w:lvlText w:val=""/>
      <w:legacy w:legacy="1" w:legacySpace="0" w:legacyIndent="0"/>
      <w:lvlJc w:val="left"/>
    </w:lvl>
  </w:abstractNum>
  <w:abstractNum w:abstractNumId="17">
    <w:nsid w:val="43CC1926"/>
    <w:multiLevelType w:val="multilevel"/>
    <w:tmpl w:val="605AF2D0"/>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1A63F1"/>
    <w:multiLevelType w:val="singleLevel"/>
    <w:tmpl w:val="C25CBB00"/>
    <w:lvl w:ilvl="0">
      <w:start w:val="1"/>
      <w:numFmt w:val="none"/>
      <w:lvlText w:val=""/>
      <w:legacy w:legacy="1" w:legacySpace="0" w:legacyIndent="0"/>
      <w:lvlJc w:val="left"/>
    </w:lvl>
  </w:abstractNum>
  <w:abstractNum w:abstractNumId="19">
    <w:nsid w:val="473043F4"/>
    <w:multiLevelType w:val="singleLevel"/>
    <w:tmpl w:val="687A89DA"/>
    <w:lvl w:ilvl="0">
      <w:start w:val="1"/>
      <w:numFmt w:val="none"/>
      <w:lvlText w:val=""/>
      <w:legacy w:legacy="1" w:legacySpace="0" w:legacyIndent="0"/>
      <w:lvlJc w:val="left"/>
    </w:lvl>
  </w:abstractNum>
  <w:abstractNum w:abstractNumId="20">
    <w:nsid w:val="4A584AF5"/>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21">
    <w:nsid w:val="4AAF6DE8"/>
    <w:multiLevelType w:val="singleLevel"/>
    <w:tmpl w:val="34BCA036"/>
    <w:lvl w:ilvl="0">
      <w:start w:val="1"/>
      <w:numFmt w:val="decimal"/>
      <w:lvlText w:val="%1."/>
      <w:legacy w:legacy="1" w:legacySpace="0" w:legacyIndent="360"/>
      <w:lvlJc w:val="left"/>
      <w:pPr>
        <w:ind w:left="1800" w:hanging="360"/>
      </w:pPr>
      <w:rPr>
        <w:rFonts w:ascii="Symbol" w:hAnsi="Symbol" w:hint="default"/>
        <w:b/>
        <w:i w:val="0"/>
        <w:sz w:val="18"/>
      </w:rPr>
    </w:lvl>
  </w:abstractNum>
  <w:abstractNum w:abstractNumId="22">
    <w:nsid w:val="51CB1ED2"/>
    <w:multiLevelType w:val="hybridMultilevel"/>
    <w:tmpl w:val="3088363A"/>
    <w:lvl w:ilvl="0" w:tplc="52AAB93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DE162E"/>
    <w:multiLevelType w:val="hybridMultilevel"/>
    <w:tmpl w:val="37D40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84542D"/>
    <w:multiLevelType w:val="hybridMultilevel"/>
    <w:tmpl w:val="2056E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7075201"/>
    <w:multiLevelType w:val="multilevel"/>
    <w:tmpl w:val="60D8AAC6"/>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D44934"/>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abstractNum w:abstractNumId="27">
    <w:nsid w:val="6C77551A"/>
    <w:multiLevelType w:val="multilevel"/>
    <w:tmpl w:val="7DEC6CF8"/>
    <w:lvl w:ilvl="0">
      <w:start w:val="1"/>
      <w:numFmt w:val="decimal"/>
      <w:lvlText w:val="%1."/>
      <w:lvlJc w:val="left"/>
      <w:pPr>
        <w:tabs>
          <w:tab w:val="num" w:pos="720"/>
        </w:tabs>
        <w:ind w:left="720" w:hanging="360"/>
      </w:pPr>
      <w:rPr>
        <w:rFonts w:ascii="Tahoma" w:hAnsi="Tahoma" w:hint="default"/>
        <w:b/>
        <w:i w:val="0"/>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DB42D0"/>
    <w:multiLevelType w:val="singleLevel"/>
    <w:tmpl w:val="D5EECCA4"/>
    <w:lvl w:ilvl="0">
      <w:start w:val="1"/>
      <w:numFmt w:val="decimal"/>
      <w:lvlText w:val="%1."/>
      <w:legacy w:legacy="1" w:legacySpace="0" w:legacyIndent="360"/>
      <w:lvlJc w:val="left"/>
      <w:pPr>
        <w:ind w:left="1440" w:hanging="360"/>
      </w:pPr>
    </w:lvl>
  </w:abstractNum>
  <w:abstractNum w:abstractNumId="30">
    <w:nsid w:val="71006BBE"/>
    <w:multiLevelType w:val="hybridMultilevel"/>
    <w:tmpl w:val="6BE6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4A76F65"/>
    <w:multiLevelType w:val="singleLevel"/>
    <w:tmpl w:val="86F87C5E"/>
    <w:lvl w:ilvl="0">
      <w:start w:val="1"/>
      <w:numFmt w:val="none"/>
      <w:lvlText w:val=""/>
      <w:legacy w:legacy="1" w:legacySpace="0" w:legacyIndent="0"/>
      <w:lvlJc w:val="left"/>
    </w:lvl>
  </w:abstractNum>
  <w:abstractNum w:abstractNumId="32">
    <w:nsid w:val="793D6573"/>
    <w:multiLevelType w:val="singleLevel"/>
    <w:tmpl w:val="34BCA036"/>
    <w:lvl w:ilvl="0">
      <w:start w:val="1"/>
      <w:numFmt w:val="decimal"/>
      <w:lvlText w:val="%1."/>
      <w:legacy w:legacy="1" w:legacySpace="0" w:legacyIndent="360"/>
      <w:lvlJc w:val="left"/>
      <w:pPr>
        <w:ind w:left="720" w:hanging="360"/>
      </w:pPr>
      <w:rPr>
        <w:rFonts w:ascii="Symbol" w:hAnsi="Symbol" w:hint="default"/>
        <w:b/>
        <w:i w:val="0"/>
        <w:sz w:val="18"/>
      </w:rPr>
    </w:lvl>
  </w:abstractNum>
  <w:num w:numId="1">
    <w:abstractNumId w:val="2"/>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11"/>
  </w:num>
  <w:num w:numId="3">
    <w:abstractNumId w:val="2"/>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2"/>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2"/>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6"/>
  </w:num>
  <w:num w:numId="7">
    <w:abstractNumId w:val="18"/>
  </w:num>
  <w:num w:numId="8">
    <w:abstractNumId w:val="16"/>
  </w:num>
  <w:num w:numId="9">
    <w:abstractNumId w:val="31"/>
  </w:num>
  <w:num w:numId="10">
    <w:abstractNumId w:val="19"/>
  </w:num>
  <w:num w:numId="11">
    <w:abstractNumId w:val="29"/>
  </w:num>
  <w:num w:numId="12">
    <w:abstractNumId w:val="29"/>
    <w:lvlOverride w:ilvl="0">
      <w:lvl w:ilvl="0">
        <w:start w:val="1"/>
        <w:numFmt w:val="decimal"/>
        <w:lvlText w:val="%1."/>
        <w:legacy w:legacy="1" w:legacySpace="0" w:legacyIndent="360"/>
        <w:lvlJc w:val="left"/>
        <w:pPr>
          <w:ind w:left="1800" w:hanging="360"/>
        </w:pPr>
      </w:lvl>
    </w:lvlOverride>
  </w:num>
  <w:num w:numId="13">
    <w:abstractNumId w:val="29"/>
    <w:lvlOverride w:ilvl="0">
      <w:lvl w:ilvl="0">
        <w:start w:val="1"/>
        <w:numFmt w:val="decimal"/>
        <w:lvlText w:val="%1."/>
        <w:legacy w:legacy="1" w:legacySpace="0" w:legacyIndent="360"/>
        <w:lvlJc w:val="left"/>
        <w:pPr>
          <w:ind w:left="2160" w:hanging="360"/>
        </w:pPr>
      </w:lvl>
    </w:lvlOverride>
  </w:num>
  <w:num w:numId="14">
    <w:abstractNumId w:val="29"/>
    <w:lvlOverride w:ilvl="0">
      <w:lvl w:ilvl="0">
        <w:start w:val="1"/>
        <w:numFmt w:val="decimal"/>
        <w:lvlText w:val="%1."/>
        <w:legacy w:legacy="1" w:legacySpace="0" w:legacyIndent="360"/>
        <w:lvlJc w:val="left"/>
        <w:pPr>
          <w:ind w:left="2520" w:hanging="360"/>
        </w:pPr>
      </w:lvl>
    </w:lvlOverride>
  </w:num>
  <w:num w:numId="15">
    <w:abstractNumId w:val="29"/>
    <w:lvlOverride w:ilvl="0">
      <w:lvl w:ilvl="0">
        <w:start w:val="1"/>
        <w:numFmt w:val="decimal"/>
        <w:lvlText w:val="%1."/>
        <w:legacy w:legacy="1" w:legacySpace="0" w:legacyIndent="360"/>
        <w:lvlJc w:val="left"/>
        <w:pPr>
          <w:ind w:left="2880" w:hanging="360"/>
        </w:pPr>
      </w:lvl>
    </w:lvlOverride>
  </w:num>
  <w:num w:numId="16">
    <w:abstractNumId w:val="1"/>
  </w:num>
  <w:num w:numId="17">
    <w:abstractNumId w:val="0"/>
  </w:num>
  <w:num w:numId="18">
    <w:abstractNumId w:val="21"/>
  </w:num>
  <w:num w:numId="19">
    <w:abstractNumId w:val="4"/>
  </w:num>
  <w:num w:numId="20">
    <w:abstractNumId w:val="14"/>
  </w:num>
  <w:num w:numId="21">
    <w:abstractNumId w:val="20"/>
  </w:num>
  <w:num w:numId="22">
    <w:abstractNumId w:val="15"/>
  </w:num>
  <w:num w:numId="23">
    <w:abstractNumId w:val="32"/>
  </w:num>
  <w:num w:numId="24">
    <w:abstractNumId w:val="3"/>
  </w:num>
  <w:num w:numId="25">
    <w:abstractNumId w:val="26"/>
  </w:num>
  <w:num w:numId="26">
    <w:abstractNumId w:val="5"/>
  </w:num>
  <w:num w:numId="27">
    <w:abstractNumId w:val="28"/>
  </w:num>
  <w:num w:numId="28">
    <w:abstractNumId w:val="10"/>
  </w:num>
  <w:num w:numId="29">
    <w:abstractNumId w:val="10"/>
    <w:lvlOverride w:ilvl="0">
      <w:startOverride w:val="1"/>
    </w:lvlOverride>
  </w:num>
  <w:num w:numId="30">
    <w:abstractNumId w:val="25"/>
  </w:num>
  <w:num w:numId="31">
    <w:abstractNumId w:val="5"/>
    <w:lvlOverride w:ilvl="0">
      <w:startOverride w:val="1"/>
    </w:lvlOverride>
  </w:num>
  <w:num w:numId="32">
    <w:abstractNumId w:val="27"/>
  </w:num>
  <w:num w:numId="33">
    <w:abstractNumId w:val="5"/>
  </w:num>
  <w:num w:numId="34">
    <w:abstractNumId w:val="8"/>
  </w:num>
  <w:num w:numId="35">
    <w:abstractNumId w:val="17"/>
  </w:num>
  <w:num w:numId="36">
    <w:abstractNumId w:val="5"/>
    <w:lvlOverride w:ilvl="0">
      <w:startOverride w:val="1"/>
    </w:lvlOverride>
  </w:num>
  <w:num w:numId="37">
    <w:abstractNumId w:val="23"/>
  </w:num>
  <w:num w:numId="38">
    <w:abstractNumId w:val="13"/>
  </w:num>
  <w:num w:numId="39">
    <w:abstractNumId w:val="30"/>
  </w:num>
  <w:num w:numId="40">
    <w:abstractNumId w:val="12"/>
  </w:num>
  <w:num w:numId="41">
    <w:abstractNumId w:val="22"/>
  </w:num>
  <w:num w:numId="42">
    <w:abstractNumId w:val="9"/>
  </w:num>
  <w:num w:numId="43">
    <w:abstractNumId w:val="2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60"/>
  <w:drawingGridHorizontalSpacing w:val="100"/>
  <w:drawingGridVerticalSpacing w:val="187"/>
  <w:displayHorizontalDrawingGridEvery w:val="2"/>
  <w:doNotShadeFormData/>
  <w:noPunctuationKerning/>
  <w:characterSpacingControl w:val="doNotCompress"/>
  <w:hdrShapeDefaults>
    <o:shapedefaults v:ext="edit" spidmax="6146">
      <o:colormru v:ext="edit" colors="#d2d2d2,#cdcdcd,#c8c8c8"/>
    </o:shapedefaults>
  </w:hdrShapeDefaults>
  <w:footnotePr>
    <w:footnote w:id="0"/>
    <w:footnote w:id="1"/>
    <w:footnote w:id="2"/>
  </w:footnotePr>
  <w:endnotePr>
    <w:endnote w:id="0"/>
    <w:endnote w:id="1"/>
  </w:endnotePr>
  <w:compat/>
  <w:rsids>
    <w:rsidRoot w:val="007C6787"/>
    <w:rsid w:val="00006303"/>
    <w:rsid w:val="00007E02"/>
    <w:rsid w:val="0001770D"/>
    <w:rsid w:val="00020687"/>
    <w:rsid w:val="0002134B"/>
    <w:rsid w:val="00024823"/>
    <w:rsid w:val="00034FE7"/>
    <w:rsid w:val="00042DF2"/>
    <w:rsid w:val="00042F12"/>
    <w:rsid w:val="00045ED7"/>
    <w:rsid w:val="00057083"/>
    <w:rsid w:val="000604C7"/>
    <w:rsid w:val="000626E5"/>
    <w:rsid w:val="00080790"/>
    <w:rsid w:val="0008099F"/>
    <w:rsid w:val="000845C5"/>
    <w:rsid w:val="000916A9"/>
    <w:rsid w:val="00091A6A"/>
    <w:rsid w:val="00097762"/>
    <w:rsid w:val="000F6E9D"/>
    <w:rsid w:val="001009F3"/>
    <w:rsid w:val="001107E2"/>
    <w:rsid w:val="00117DE0"/>
    <w:rsid w:val="00140883"/>
    <w:rsid w:val="00141CFE"/>
    <w:rsid w:val="00155843"/>
    <w:rsid w:val="00156602"/>
    <w:rsid w:val="00160DB8"/>
    <w:rsid w:val="0016139E"/>
    <w:rsid w:val="00172734"/>
    <w:rsid w:val="001A6646"/>
    <w:rsid w:val="001B59DD"/>
    <w:rsid w:val="001E5A8A"/>
    <w:rsid w:val="001F3F8E"/>
    <w:rsid w:val="001F4721"/>
    <w:rsid w:val="002210C2"/>
    <w:rsid w:val="00221223"/>
    <w:rsid w:val="00223B71"/>
    <w:rsid w:val="0023119A"/>
    <w:rsid w:val="0024222C"/>
    <w:rsid w:val="00246354"/>
    <w:rsid w:val="0025403C"/>
    <w:rsid w:val="00273D86"/>
    <w:rsid w:val="00281BAB"/>
    <w:rsid w:val="00284001"/>
    <w:rsid w:val="00284C8F"/>
    <w:rsid w:val="002C300F"/>
    <w:rsid w:val="002E50D9"/>
    <w:rsid w:val="003354E9"/>
    <w:rsid w:val="003361EA"/>
    <w:rsid w:val="00395B44"/>
    <w:rsid w:val="00396C7D"/>
    <w:rsid w:val="003A170A"/>
    <w:rsid w:val="003C0D1B"/>
    <w:rsid w:val="003D7457"/>
    <w:rsid w:val="003F556A"/>
    <w:rsid w:val="004132FD"/>
    <w:rsid w:val="00414B86"/>
    <w:rsid w:val="004256E0"/>
    <w:rsid w:val="00427954"/>
    <w:rsid w:val="00440DA9"/>
    <w:rsid w:val="00442770"/>
    <w:rsid w:val="00456D02"/>
    <w:rsid w:val="00461C32"/>
    <w:rsid w:val="0046455C"/>
    <w:rsid w:val="004844E3"/>
    <w:rsid w:val="0048576B"/>
    <w:rsid w:val="004A20BE"/>
    <w:rsid w:val="004D5433"/>
    <w:rsid w:val="004E3C9E"/>
    <w:rsid w:val="00520A01"/>
    <w:rsid w:val="0053092A"/>
    <w:rsid w:val="00537C91"/>
    <w:rsid w:val="0054177C"/>
    <w:rsid w:val="00543EF4"/>
    <w:rsid w:val="00545819"/>
    <w:rsid w:val="005463DD"/>
    <w:rsid w:val="00552FD0"/>
    <w:rsid w:val="005553B0"/>
    <w:rsid w:val="005644C2"/>
    <w:rsid w:val="00580C5F"/>
    <w:rsid w:val="005830F0"/>
    <w:rsid w:val="00584A53"/>
    <w:rsid w:val="005A678F"/>
    <w:rsid w:val="005C0F54"/>
    <w:rsid w:val="005F5B1C"/>
    <w:rsid w:val="00615F09"/>
    <w:rsid w:val="006270DA"/>
    <w:rsid w:val="006403D2"/>
    <w:rsid w:val="006424D9"/>
    <w:rsid w:val="00653625"/>
    <w:rsid w:val="00653E74"/>
    <w:rsid w:val="0067626E"/>
    <w:rsid w:val="00697BBB"/>
    <w:rsid w:val="006A2B15"/>
    <w:rsid w:val="006A36CD"/>
    <w:rsid w:val="006E583B"/>
    <w:rsid w:val="006F217B"/>
    <w:rsid w:val="006F25D2"/>
    <w:rsid w:val="00706B53"/>
    <w:rsid w:val="00727168"/>
    <w:rsid w:val="0073646B"/>
    <w:rsid w:val="00736A5D"/>
    <w:rsid w:val="0077697A"/>
    <w:rsid w:val="0078098C"/>
    <w:rsid w:val="007813DC"/>
    <w:rsid w:val="00782693"/>
    <w:rsid w:val="00786A56"/>
    <w:rsid w:val="00787378"/>
    <w:rsid w:val="007A0494"/>
    <w:rsid w:val="007A3330"/>
    <w:rsid w:val="007A652A"/>
    <w:rsid w:val="007A7C94"/>
    <w:rsid w:val="007C2F36"/>
    <w:rsid w:val="007C6787"/>
    <w:rsid w:val="007D42E0"/>
    <w:rsid w:val="007D45EB"/>
    <w:rsid w:val="007E2317"/>
    <w:rsid w:val="007E2884"/>
    <w:rsid w:val="00821A94"/>
    <w:rsid w:val="00821F36"/>
    <w:rsid w:val="00825CE4"/>
    <w:rsid w:val="00855596"/>
    <w:rsid w:val="00863548"/>
    <w:rsid w:val="008711D8"/>
    <w:rsid w:val="00874EF6"/>
    <w:rsid w:val="00882B35"/>
    <w:rsid w:val="00890735"/>
    <w:rsid w:val="008B35B9"/>
    <w:rsid w:val="008B7577"/>
    <w:rsid w:val="008D39EA"/>
    <w:rsid w:val="008E30FC"/>
    <w:rsid w:val="008F1D27"/>
    <w:rsid w:val="008F4FD3"/>
    <w:rsid w:val="009128BD"/>
    <w:rsid w:val="00922A82"/>
    <w:rsid w:val="00937356"/>
    <w:rsid w:val="00943631"/>
    <w:rsid w:val="009A0245"/>
    <w:rsid w:val="009C46C5"/>
    <w:rsid w:val="009E2BED"/>
    <w:rsid w:val="00A06B09"/>
    <w:rsid w:val="00A12340"/>
    <w:rsid w:val="00A129E3"/>
    <w:rsid w:val="00A23BE6"/>
    <w:rsid w:val="00A3034C"/>
    <w:rsid w:val="00A57BFC"/>
    <w:rsid w:val="00A613BA"/>
    <w:rsid w:val="00A65A5C"/>
    <w:rsid w:val="00AB2E42"/>
    <w:rsid w:val="00AB5097"/>
    <w:rsid w:val="00AD16C2"/>
    <w:rsid w:val="00AE54B8"/>
    <w:rsid w:val="00AF0512"/>
    <w:rsid w:val="00AF198E"/>
    <w:rsid w:val="00B061CF"/>
    <w:rsid w:val="00B1150B"/>
    <w:rsid w:val="00B464C4"/>
    <w:rsid w:val="00B46C03"/>
    <w:rsid w:val="00B5189C"/>
    <w:rsid w:val="00B52101"/>
    <w:rsid w:val="00B664C0"/>
    <w:rsid w:val="00B67B70"/>
    <w:rsid w:val="00B7480A"/>
    <w:rsid w:val="00B74EBB"/>
    <w:rsid w:val="00B77779"/>
    <w:rsid w:val="00B97D8B"/>
    <w:rsid w:val="00BB00A5"/>
    <w:rsid w:val="00BB022C"/>
    <w:rsid w:val="00BB4EAF"/>
    <w:rsid w:val="00BD0910"/>
    <w:rsid w:val="00BD7195"/>
    <w:rsid w:val="00BE1D2D"/>
    <w:rsid w:val="00C0793D"/>
    <w:rsid w:val="00C11F94"/>
    <w:rsid w:val="00C1231D"/>
    <w:rsid w:val="00C20D76"/>
    <w:rsid w:val="00C20F15"/>
    <w:rsid w:val="00C24067"/>
    <w:rsid w:val="00C32C9D"/>
    <w:rsid w:val="00C34193"/>
    <w:rsid w:val="00C43585"/>
    <w:rsid w:val="00C642C3"/>
    <w:rsid w:val="00C724FA"/>
    <w:rsid w:val="00C969EC"/>
    <w:rsid w:val="00CB0DDC"/>
    <w:rsid w:val="00CB704C"/>
    <w:rsid w:val="00CD0810"/>
    <w:rsid w:val="00CD5506"/>
    <w:rsid w:val="00CD5DEC"/>
    <w:rsid w:val="00CF4A90"/>
    <w:rsid w:val="00D11765"/>
    <w:rsid w:val="00D119D3"/>
    <w:rsid w:val="00D15996"/>
    <w:rsid w:val="00D40537"/>
    <w:rsid w:val="00D541FA"/>
    <w:rsid w:val="00D61701"/>
    <w:rsid w:val="00D63598"/>
    <w:rsid w:val="00D74679"/>
    <w:rsid w:val="00D756BD"/>
    <w:rsid w:val="00D8218D"/>
    <w:rsid w:val="00DA75A7"/>
    <w:rsid w:val="00DB111C"/>
    <w:rsid w:val="00DC2471"/>
    <w:rsid w:val="00DC79B1"/>
    <w:rsid w:val="00DD45DD"/>
    <w:rsid w:val="00DE5620"/>
    <w:rsid w:val="00E12431"/>
    <w:rsid w:val="00E140D1"/>
    <w:rsid w:val="00E3107D"/>
    <w:rsid w:val="00E32DA6"/>
    <w:rsid w:val="00E33EC9"/>
    <w:rsid w:val="00E37153"/>
    <w:rsid w:val="00E51684"/>
    <w:rsid w:val="00E74A77"/>
    <w:rsid w:val="00E92373"/>
    <w:rsid w:val="00EA154A"/>
    <w:rsid w:val="00EC0A74"/>
    <w:rsid w:val="00F060E2"/>
    <w:rsid w:val="00F24D58"/>
    <w:rsid w:val="00F379CD"/>
    <w:rsid w:val="00F806E0"/>
    <w:rsid w:val="00FC3492"/>
    <w:rsid w:val="00FD60EE"/>
    <w:rsid w:val="00FE44A0"/>
    <w:rsid w:val="00FE61CE"/>
    <w:rsid w:val="00FF2856"/>
    <w:rsid w:val="00FF61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2d2d2,#cdcdcd,#c8c8c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17B"/>
    <w:pPr>
      <w:ind w:left="1080"/>
    </w:pPr>
    <w:rPr>
      <w:rFonts w:ascii="Tahoma" w:hAnsi="Tahoma"/>
      <w:lang w:val="en-US" w:eastAsia="en-US"/>
    </w:rPr>
  </w:style>
  <w:style w:type="paragraph" w:styleId="Heading1">
    <w:name w:val="heading 1"/>
    <w:next w:val="BodyText"/>
    <w:qFormat/>
    <w:rsid w:val="00045ED7"/>
    <w:pPr>
      <w:keepNext/>
      <w:spacing w:before="200" w:after="100" w:line="280" w:lineRule="atLeast"/>
      <w:outlineLvl w:val="0"/>
    </w:pPr>
    <w:rPr>
      <w:rFonts w:ascii="Tahoma" w:hAnsi="Tahoma"/>
      <w:b/>
      <w:spacing w:val="10"/>
      <w:sz w:val="24"/>
      <w:szCs w:val="24"/>
      <w:lang w:val="en-US" w:eastAsia="en-US"/>
    </w:rPr>
  </w:style>
  <w:style w:type="paragraph" w:styleId="Heading2">
    <w:name w:val="heading 2"/>
    <w:next w:val="BodyText"/>
    <w:qFormat/>
    <w:rsid w:val="005A678F"/>
    <w:pPr>
      <w:keepNext/>
      <w:spacing w:before="100" w:after="100"/>
      <w:outlineLvl w:val="1"/>
    </w:pPr>
    <w:rPr>
      <w:rFonts w:ascii="Tahoma" w:hAnsi="Tahoma"/>
      <w:b/>
      <w:spacing w:val="10"/>
      <w:kern w:val="28"/>
      <w:lang w:val="en-US" w:eastAsia="en-US"/>
    </w:rPr>
  </w:style>
  <w:style w:type="paragraph" w:styleId="Heading3">
    <w:name w:val="heading 3"/>
    <w:next w:val="BodyText"/>
    <w:qFormat/>
    <w:rsid w:val="00045ED7"/>
    <w:pPr>
      <w:keepNext/>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ind w:left="0"/>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024823"/>
    <w:rPr>
      <w:b/>
      <w:vertAlign w:val="superscript"/>
    </w:rPr>
  </w:style>
  <w:style w:type="paragraph" w:styleId="EndnoteText">
    <w:name w:val="endnote text"/>
    <w:basedOn w:val="Normal"/>
    <w:semiHidden/>
    <w:rsid w:val="0025403C"/>
  </w:style>
  <w:style w:type="character" w:styleId="FootnoteReference">
    <w:name w:val="footnote reference"/>
    <w:semiHidden/>
    <w:rsid w:val="00024823"/>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ind w:left="0"/>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33"/>
      </w:numPr>
      <w:spacing w:after="200" w:line="240" w:lineRule="exact"/>
    </w:pPr>
    <w:rPr>
      <w:rFonts w:ascii="Tahoma" w:hAnsi="Tahoma"/>
      <w:spacing w:val="10"/>
      <w:sz w:val="17"/>
      <w:lang w:val="en-US" w:eastAsia="en-US"/>
    </w:rPr>
  </w:style>
  <w:style w:type="paragraph" w:styleId="MacroText">
    <w:name w:val="macro"/>
    <w:basedOn w:val="Normal"/>
    <w:semiHidden/>
    <w:rsid w:val="00024823"/>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semiHidden/>
    <w:rsid w:val="00736A5D"/>
    <w:pPr>
      <w:tabs>
        <w:tab w:val="right" w:leader="dot" w:pos="6480"/>
      </w:tabs>
      <w:ind w:left="0"/>
    </w:pPr>
    <w:rPr>
      <w:b/>
      <w:spacing w:val="-4"/>
    </w:rPr>
  </w:style>
  <w:style w:type="paragraph" w:styleId="TOC2">
    <w:name w:val="toc 2"/>
    <w:basedOn w:val="Normal"/>
    <w:semiHidden/>
    <w:rsid w:val="00736A5D"/>
    <w:pPr>
      <w:tabs>
        <w:tab w:val="right" w:leader="dot" w:pos="6480"/>
      </w:tabs>
      <w:ind w:left="0"/>
    </w:pPr>
  </w:style>
  <w:style w:type="paragraph" w:styleId="TOC3">
    <w:name w:val="toc 3"/>
    <w:basedOn w:val="Normal"/>
    <w:semiHidden/>
    <w:rsid w:val="00736A5D"/>
    <w:pPr>
      <w:tabs>
        <w:tab w:val="right" w:leader="dot" w:pos="6480"/>
      </w:tabs>
      <w:ind w:left="0"/>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rsid w:val="00FF2856"/>
    <w:pPr>
      <w:tabs>
        <w:tab w:val="center" w:pos="4320"/>
        <w:tab w:val="right" w:pos="8640"/>
      </w:tabs>
    </w:pPr>
  </w:style>
  <w:style w:type="paragraph" w:styleId="Title">
    <w:name w:val="Title"/>
    <w:basedOn w:val="Normal"/>
    <w:next w:val="Normal"/>
    <w:qFormat/>
    <w:rsid w:val="00045ED7"/>
    <w:pPr>
      <w:keepNext/>
      <w:keepLines/>
      <w:spacing w:before="600" w:after="40"/>
      <w:ind w:left="0"/>
    </w:pPr>
    <w:rPr>
      <w:spacing w:val="20"/>
      <w:kern w:val="28"/>
      <w:sz w:val="48"/>
      <w:szCs w:val="60"/>
    </w:rPr>
  </w:style>
  <w:style w:type="character" w:styleId="CommentReference">
    <w:name w:val="annotation reference"/>
    <w:semiHidden/>
    <w:rsid w:val="00024823"/>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rsid w:val="00024823"/>
    <w:pPr>
      <w:tabs>
        <w:tab w:val="right" w:leader="dot" w:pos="7560"/>
      </w:tabs>
      <w:ind w:left="1440" w:hanging="360"/>
    </w:pPr>
  </w:style>
  <w:style w:type="paragraph" w:styleId="TOAHeading">
    <w:name w:val="toa heading"/>
    <w:basedOn w:val="Normal"/>
    <w:next w:val="TableofAuthorities"/>
    <w:semiHidden/>
    <w:rsid w:val="00024823"/>
    <w:pPr>
      <w:keepNext/>
      <w:spacing w:before="240" w:after="12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table" w:styleId="TableGrid">
    <w:name w:val="Table Grid"/>
    <w:basedOn w:val="TableNormal"/>
    <w:rsid w:val="002463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5843"/>
    <w:pPr>
      <w:spacing w:after="200" w:line="276" w:lineRule="auto"/>
      <w:ind w:left="720"/>
      <w:contextualSpacing/>
    </w:pPr>
    <w:rPr>
      <w:rFonts w:asciiTheme="minorHAnsi" w:eastAsiaTheme="minorHAnsi" w:hAnsiTheme="minorHAnsi" w:cstheme="minorBidi"/>
      <w:sz w:val="22"/>
      <w:szCs w:val="22"/>
      <w:lang w:val="en-AU"/>
    </w:rPr>
  </w:style>
  <w:style w:type="paragraph" w:styleId="CommentSubject">
    <w:name w:val="annotation subject"/>
    <w:basedOn w:val="CommentText"/>
    <w:next w:val="CommentText"/>
    <w:link w:val="CommentSubjectChar"/>
    <w:rsid w:val="00D74679"/>
    <w:rPr>
      <w:b/>
      <w:bCs/>
    </w:rPr>
  </w:style>
  <w:style w:type="character" w:customStyle="1" w:styleId="CommentTextChar">
    <w:name w:val="Comment Text Char"/>
    <w:basedOn w:val="DefaultParagraphFont"/>
    <w:link w:val="CommentText"/>
    <w:semiHidden/>
    <w:rsid w:val="00D74679"/>
    <w:rPr>
      <w:rFonts w:ascii="Tahoma" w:hAnsi="Tahoma"/>
      <w:lang w:val="en-US" w:eastAsia="en-US"/>
    </w:rPr>
  </w:style>
  <w:style w:type="character" w:customStyle="1" w:styleId="CommentSubjectChar">
    <w:name w:val="Comment Subject Char"/>
    <w:basedOn w:val="CommentTextChar"/>
    <w:link w:val="CommentSubject"/>
    <w:rsid w:val="00D74679"/>
  </w:style>
  <w:style w:type="paragraph" w:customStyle="1" w:styleId="Default">
    <w:name w:val="Default"/>
    <w:rsid w:val="007A652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en\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CD11-9B66-4E7D-8B5A-F8411B6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3</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Marlien</dc:creator>
  <cp:lastModifiedBy>anton</cp:lastModifiedBy>
  <cp:revision>2</cp:revision>
  <cp:lastPrinted>2009-03-16T02:52:00Z</cp:lastPrinted>
  <dcterms:created xsi:type="dcterms:W3CDTF">2009-07-07T02:44:00Z</dcterms:created>
  <dcterms:modified xsi:type="dcterms:W3CDTF">2009-07-07T02:44:00Z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TC011849201033</vt:lpwstr>
  </property>
</Properties>
</file>